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3A17A" w14:textId="77777777" w:rsidR="00C62CBF" w:rsidRDefault="00C62CBF" w:rsidP="00C62CBF">
      <w:pPr>
        <w:spacing w:after="60" w:line="240" w:lineRule="auto"/>
        <w:jc w:val="right"/>
        <w:rPr>
          <w:rFonts w:ascii="Arial" w:eastAsia="Century Gothic" w:hAnsi="Arial" w:cs="Arial"/>
          <w:b/>
          <w:color w:val="FFC000"/>
        </w:rPr>
      </w:pPr>
      <w:r w:rsidRPr="000E0805">
        <w:rPr>
          <w:rFonts w:ascii="Arial" w:eastAsia="Century Gothic" w:hAnsi="Arial" w:cs="Arial"/>
          <w:b/>
          <w:color w:val="FFC000"/>
        </w:rPr>
        <w:t xml:space="preserve">Nomenclatura PIPLC </w:t>
      </w:r>
    </w:p>
    <w:p w14:paraId="2E36B770" w14:textId="77777777" w:rsidR="00C62CBF" w:rsidRPr="000E0805" w:rsidRDefault="00C62CBF" w:rsidP="00C62CBF">
      <w:pPr>
        <w:spacing w:after="60" w:line="240" w:lineRule="auto"/>
        <w:jc w:val="right"/>
        <w:rPr>
          <w:rFonts w:ascii="Arial" w:eastAsia="Century Gothic" w:hAnsi="Arial" w:cs="Arial"/>
          <w:b/>
          <w:color w:val="FFC000"/>
        </w:rPr>
      </w:pPr>
    </w:p>
    <w:p w14:paraId="04280FAB" w14:textId="77777777" w:rsidR="00C62CBF" w:rsidRDefault="00C62CBF" w:rsidP="00C62CBF">
      <w:pPr>
        <w:spacing w:after="60" w:line="240" w:lineRule="auto"/>
        <w:jc w:val="right"/>
        <w:rPr>
          <w:rFonts w:ascii="Arial" w:eastAsia="Century Gothic" w:hAnsi="Arial" w:cs="Arial"/>
          <w:b/>
          <w:color w:val="000000"/>
        </w:rPr>
      </w:pPr>
      <w:r w:rsidRPr="000E0805">
        <w:rPr>
          <w:rFonts w:ascii="Arial" w:eastAsia="Century Gothic" w:hAnsi="Arial" w:cs="Arial"/>
          <w:b/>
        </w:rPr>
        <w:t>Plan de Incidencia Política</w:t>
      </w:r>
      <w:r w:rsidRPr="000E0805">
        <w:rPr>
          <w:rFonts w:ascii="Arial" w:eastAsia="Century Gothic" w:hAnsi="Arial" w:cs="Arial"/>
          <w:b/>
          <w:color w:val="000000"/>
        </w:rPr>
        <w:t xml:space="preserve"> “LOGRANDO CAMBIOS” </w:t>
      </w:r>
    </w:p>
    <w:p w14:paraId="0FEDCDA5" w14:textId="77777777" w:rsidR="00C62CBF" w:rsidRPr="000E0805" w:rsidRDefault="00C62CBF" w:rsidP="00C62CBF">
      <w:pPr>
        <w:spacing w:after="60" w:line="240" w:lineRule="auto"/>
        <w:jc w:val="right"/>
        <w:rPr>
          <w:rFonts w:ascii="Arial" w:eastAsia="Century Gothic" w:hAnsi="Arial" w:cs="Arial"/>
          <w:b/>
          <w:color w:val="000000"/>
        </w:rPr>
      </w:pPr>
    </w:p>
    <w:p w14:paraId="30F6E119" w14:textId="330A154B" w:rsidR="00C62CBF" w:rsidRDefault="00C62CBF" w:rsidP="00C62CBF">
      <w:pPr>
        <w:spacing w:after="60" w:line="240" w:lineRule="auto"/>
        <w:jc w:val="right"/>
        <w:rPr>
          <w:rFonts w:ascii="Arial" w:eastAsia="Century Gothic" w:hAnsi="Arial" w:cs="Arial"/>
          <w:b/>
          <w:color w:val="000000"/>
        </w:rPr>
      </w:pPr>
      <w:r w:rsidRPr="000E0805">
        <w:rPr>
          <w:rFonts w:ascii="Arial" w:eastAsia="Century Gothic" w:hAnsi="Arial" w:cs="Arial"/>
          <w:b/>
          <w:color w:val="000000"/>
        </w:rPr>
        <w:t>Sección I</w:t>
      </w:r>
      <w:r>
        <w:rPr>
          <w:rFonts w:ascii="Arial" w:eastAsia="Century Gothic" w:hAnsi="Arial" w:cs="Arial"/>
          <w:b/>
          <w:color w:val="000000"/>
        </w:rPr>
        <w:t>I</w:t>
      </w:r>
      <w:r w:rsidRPr="000E0805">
        <w:rPr>
          <w:rFonts w:ascii="Arial" w:eastAsia="Century Gothic" w:hAnsi="Arial" w:cs="Arial"/>
          <w:b/>
          <w:color w:val="000000"/>
        </w:rPr>
        <w:t xml:space="preserve"> </w:t>
      </w:r>
    </w:p>
    <w:p w14:paraId="0A2651BB" w14:textId="77777777" w:rsidR="00C62CBF" w:rsidRPr="000E0805" w:rsidRDefault="00C62CBF" w:rsidP="00C62CBF">
      <w:pPr>
        <w:spacing w:after="60" w:line="240" w:lineRule="auto"/>
        <w:jc w:val="right"/>
        <w:rPr>
          <w:rFonts w:ascii="Arial" w:eastAsia="Century Gothic" w:hAnsi="Arial" w:cs="Arial"/>
          <w:b/>
          <w:color w:val="000000"/>
        </w:rPr>
      </w:pPr>
    </w:p>
    <w:p w14:paraId="7B1A17A5" w14:textId="54C38E76" w:rsidR="00C62CBF" w:rsidRDefault="00C62CBF" w:rsidP="00C62CBF">
      <w:pPr>
        <w:spacing w:after="60" w:line="240" w:lineRule="auto"/>
        <w:jc w:val="right"/>
        <w:rPr>
          <w:rFonts w:ascii="Arial" w:eastAsia="Century Gothic" w:hAnsi="Arial" w:cs="Arial"/>
          <w:b/>
          <w:color w:val="000000"/>
        </w:rPr>
      </w:pPr>
      <w:r w:rsidRPr="000E0805">
        <w:rPr>
          <w:rFonts w:ascii="Arial" w:eastAsia="Century Gothic" w:hAnsi="Arial" w:cs="Arial"/>
          <w:b/>
          <w:color w:val="000000"/>
        </w:rPr>
        <w:t>Unida</w:t>
      </w:r>
      <w:r>
        <w:rPr>
          <w:rFonts w:ascii="Arial" w:eastAsia="Century Gothic" w:hAnsi="Arial" w:cs="Arial"/>
          <w:b/>
          <w:color w:val="000000"/>
        </w:rPr>
        <w:t xml:space="preserve">d </w:t>
      </w:r>
      <w:r>
        <w:rPr>
          <w:rFonts w:ascii="Arial" w:eastAsia="Century Gothic" w:hAnsi="Arial" w:cs="Arial"/>
          <w:b/>
          <w:color w:val="000000"/>
        </w:rPr>
        <w:t xml:space="preserve">2.1 </w:t>
      </w:r>
      <w:r w:rsidRPr="00C62CBF">
        <w:rPr>
          <w:rFonts w:ascii="Arial" w:eastAsia="Century Gothic" w:hAnsi="Arial" w:cs="Arial"/>
          <w:b/>
          <w:color w:val="000000"/>
        </w:rPr>
        <w:t>la Convención sobre los Derechos del Niño como marco de trabajo</w:t>
      </w:r>
    </w:p>
    <w:p w14:paraId="4724C428" w14:textId="0D242A62" w:rsidR="00693C40" w:rsidRDefault="00693C40"/>
    <w:p w14:paraId="541D0CEB" w14:textId="79856544" w:rsidR="00175C72" w:rsidRDefault="00175C72"/>
    <w:p w14:paraId="185A04AC" w14:textId="77777777" w:rsidR="00175C72" w:rsidRDefault="00175C72" w:rsidP="00175C72">
      <w:pPr>
        <w:pStyle w:val="Pa2"/>
        <w:rPr>
          <w:rFonts w:cs="Avenir Black"/>
          <w:color w:val="000000"/>
          <w:sz w:val="22"/>
          <w:szCs w:val="22"/>
        </w:rPr>
      </w:pPr>
      <w:r>
        <w:rPr>
          <w:rStyle w:val="A3"/>
        </w:rPr>
        <w:t xml:space="preserve">2.1. UTILIZANDO LA CONVENCIÓN SOBRE LOS DERECHOS DEL NIÑO </w:t>
      </w:r>
    </w:p>
    <w:p w14:paraId="0D8AD000" w14:textId="5A68DCD0" w:rsidR="00175C72" w:rsidRDefault="00175C72" w:rsidP="00175C72">
      <w:pPr>
        <w:rPr>
          <w:rStyle w:val="A3"/>
        </w:rPr>
      </w:pPr>
      <w:r>
        <w:rPr>
          <w:rStyle w:val="A3"/>
        </w:rPr>
        <w:t>COMO MARCO DE TRABAJO</w:t>
      </w:r>
    </w:p>
    <w:p w14:paraId="41BB3799" w14:textId="2D636543" w:rsidR="00175C72" w:rsidRPr="00175C72" w:rsidRDefault="00175C72" w:rsidP="00175C72">
      <w:pPr>
        <w:rPr>
          <w:rFonts w:ascii="Brush Script MT" w:hAnsi="Brush Script MT" w:cs="Avenir Black"/>
          <w:b/>
          <w:bCs/>
          <w:color w:val="000000"/>
          <w:sz w:val="40"/>
          <w:szCs w:val="40"/>
        </w:rPr>
      </w:pPr>
      <w:r w:rsidRPr="00175C72">
        <w:rPr>
          <w:rStyle w:val="A3"/>
          <w:rFonts w:ascii="Brush Script MT" w:hAnsi="Brush Script MT"/>
          <w:sz w:val="40"/>
          <w:szCs w:val="40"/>
        </w:rPr>
        <w:t>¿Sabías qué?</w:t>
      </w:r>
    </w:p>
    <w:p w14:paraId="1FD91287" w14:textId="31CB35B6" w:rsidR="00175C72" w:rsidRDefault="00175C72" w:rsidP="00175C72">
      <w:r>
        <w:t>La Convención sobre los Derechos del Niño3 (CDN)</w:t>
      </w:r>
      <w:r>
        <w:t xml:space="preserve"> </w:t>
      </w:r>
      <w:r>
        <w:t>es el instrumento internacional más importante para</w:t>
      </w:r>
      <w:r>
        <w:t xml:space="preserve"> </w:t>
      </w:r>
      <w:r>
        <w:t>protegerte y para garantizar tus Derechos Humanos. La</w:t>
      </w:r>
      <w:r>
        <w:t xml:space="preserve"> </w:t>
      </w:r>
      <w:r>
        <w:t>CDN propuso un cambio muy importante al reconocer</w:t>
      </w:r>
      <w:r>
        <w:t xml:space="preserve"> </w:t>
      </w:r>
      <w:r>
        <w:t>que las niñas, niños y adolescentes tienen los mismos</w:t>
      </w:r>
      <w:r>
        <w:t xml:space="preserve"> </w:t>
      </w:r>
      <w:r>
        <w:t>derechos que las personas adultas, y además requieren</w:t>
      </w:r>
      <w:r>
        <w:t xml:space="preserve"> </w:t>
      </w:r>
      <w:r>
        <w:t>de una protección integral por encontrarse en una etapa</w:t>
      </w:r>
      <w:r>
        <w:t xml:space="preserve"> </w:t>
      </w:r>
      <w:r>
        <w:t>de específica en su desarrollo y crecimiento.</w:t>
      </w:r>
    </w:p>
    <w:p w14:paraId="5BD85F02" w14:textId="16C1AC0B" w:rsidR="00175C72" w:rsidRDefault="00175C72" w:rsidP="00175C72"/>
    <w:p w14:paraId="25AC942B" w14:textId="77777777" w:rsidR="00175C72" w:rsidRPr="00175C72" w:rsidRDefault="00175C72" w:rsidP="00175C72">
      <w:pPr>
        <w:autoSpaceDE w:val="0"/>
        <w:autoSpaceDN w:val="0"/>
        <w:adjustRightInd w:val="0"/>
        <w:spacing w:after="0" w:line="241" w:lineRule="atLeast"/>
        <w:jc w:val="both"/>
        <w:rPr>
          <w:rFonts w:ascii="Avenir Book" w:hAnsi="Avenir Book" w:cs="Avenir Book"/>
          <w:color w:val="000000"/>
        </w:rPr>
      </w:pPr>
      <w:r w:rsidRPr="00175C72">
        <w:rPr>
          <w:rFonts w:ascii="Avenir Book" w:hAnsi="Avenir Book" w:cs="Avenir Book"/>
          <w:color w:val="000000"/>
        </w:rPr>
        <w:t xml:space="preserve">Algo que debes saber es que los Derechos Humanos se dividen en categorías, esto es útil a la hora de trabajar con ellos y en particular cuando quieres EXGIRLOS para que tu Estado los cumpla. Estas categorías son: </w:t>
      </w:r>
    </w:p>
    <w:p w14:paraId="68BCF382" w14:textId="77777777" w:rsidR="00175C72" w:rsidRPr="00175C72" w:rsidRDefault="00175C72" w:rsidP="00175C72">
      <w:pPr>
        <w:autoSpaceDE w:val="0"/>
        <w:autoSpaceDN w:val="0"/>
        <w:adjustRightInd w:val="0"/>
        <w:spacing w:after="0" w:line="241" w:lineRule="atLeast"/>
        <w:ind w:left="880" w:hanging="280"/>
        <w:jc w:val="both"/>
        <w:rPr>
          <w:rFonts w:ascii="Avenir Book" w:hAnsi="Avenir Book" w:cs="Avenir Book"/>
          <w:color w:val="000000"/>
        </w:rPr>
      </w:pPr>
      <w:r w:rsidRPr="00175C72">
        <w:rPr>
          <w:rFonts w:ascii="Avenir Book" w:hAnsi="Avenir Book" w:cs="Avenir Book"/>
          <w:color w:val="000000"/>
        </w:rPr>
        <w:t xml:space="preserve">• DERECHOS CIVILES y LIBERTADES </w:t>
      </w:r>
    </w:p>
    <w:p w14:paraId="33D6C3C7" w14:textId="77777777" w:rsidR="00175C72" w:rsidRPr="00175C72" w:rsidRDefault="00175C72" w:rsidP="00175C72">
      <w:pPr>
        <w:autoSpaceDE w:val="0"/>
        <w:autoSpaceDN w:val="0"/>
        <w:adjustRightInd w:val="0"/>
        <w:spacing w:after="0" w:line="241" w:lineRule="atLeast"/>
        <w:ind w:left="880" w:hanging="280"/>
        <w:jc w:val="both"/>
        <w:rPr>
          <w:rFonts w:ascii="Avenir Book" w:hAnsi="Avenir Book" w:cs="Avenir Book"/>
          <w:color w:val="000000"/>
        </w:rPr>
      </w:pPr>
      <w:r w:rsidRPr="00175C72">
        <w:rPr>
          <w:rFonts w:ascii="Avenir Book" w:hAnsi="Avenir Book" w:cs="Avenir Book"/>
          <w:color w:val="000000"/>
        </w:rPr>
        <w:t xml:space="preserve">• DERECHOS POLITICOS </w:t>
      </w:r>
    </w:p>
    <w:p w14:paraId="5121854E" w14:textId="77777777" w:rsidR="00175C72" w:rsidRPr="00175C72" w:rsidRDefault="00175C72" w:rsidP="00175C72">
      <w:pPr>
        <w:autoSpaceDE w:val="0"/>
        <w:autoSpaceDN w:val="0"/>
        <w:adjustRightInd w:val="0"/>
        <w:spacing w:after="0" w:line="241" w:lineRule="atLeast"/>
        <w:ind w:left="880" w:hanging="280"/>
        <w:jc w:val="both"/>
        <w:rPr>
          <w:rFonts w:ascii="Avenir Book" w:hAnsi="Avenir Book" w:cs="Avenir Book"/>
          <w:color w:val="000000"/>
        </w:rPr>
      </w:pPr>
      <w:r w:rsidRPr="00175C72">
        <w:rPr>
          <w:rFonts w:ascii="Avenir Book" w:hAnsi="Avenir Book" w:cs="Avenir Book"/>
          <w:color w:val="000000"/>
        </w:rPr>
        <w:t xml:space="preserve">• DERECHOS ECONOMICOS </w:t>
      </w:r>
    </w:p>
    <w:p w14:paraId="0E03DD47" w14:textId="77777777" w:rsidR="00175C72" w:rsidRPr="00175C72" w:rsidRDefault="00175C72" w:rsidP="00175C72">
      <w:pPr>
        <w:autoSpaceDE w:val="0"/>
        <w:autoSpaceDN w:val="0"/>
        <w:adjustRightInd w:val="0"/>
        <w:spacing w:after="0" w:line="241" w:lineRule="atLeast"/>
        <w:ind w:left="880" w:hanging="280"/>
        <w:jc w:val="both"/>
        <w:rPr>
          <w:rFonts w:ascii="Avenir Book" w:hAnsi="Avenir Book" w:cs="Avenir Book"/>
          <w:color w:val="000000"/>
        </w:rPr>
      </w:pPr>
      <w:r w:rsidRPr="00175C72">
        <w:rPr>
          <w:rFonts w:ascii="Avenir Book" w:hAnsi="Avenir Book" w:cs="Avenir Book"/>
          <w:color w:val="000000"/>
        </w:rPr>
        <w:t xml:space="preserve">• DERECHOS SOCIALES </w:t>
      </w:r>
    </w:p>
    <w:p w14:paraId="454C9B66" w14:textId="77777777" w:rsidR="00175C72" w:rsidRPr="00175C72" w:rsidRDefault="00175C72" w:rsidP="00175C72">
      <w:pPr>
        <w:autoSpaceDE w:val="0"/>
        <w:autoSpaceDN w:val="0"/>
        <w:adjustRightInd w:val="0"/>
        <w:spacing w:after="0" w:line="241" w:lineRule="atLeast"/>
        <w:ind w:left="880" w:hanging="280"/>
        <w:jc w:val="both"/>
        <w:rPr>
          <w:rFonts w:ascii="Avenir Book" w:hAnsi="Avenir Book" w:cs="Avenir Book"/>
          <w:color w:val="000000"/>
        </w:rPr>
      </w:pPr>
      <w:r w:rsidRPr="00175C72">
        <w:rPr>
          <w:rFonts w:ascii="Avenir Book" w:hAnsi="Avenir Book" w:cs="Avenir Book"/>
          <w:color w:val="000000"/>
        </w:rPr>
        <w:t xml:space="preserve">• DERECHOS CULTURALES </w:t>
      </w:r>
    </w:p>
    <w:p w14:paraId="5CEE03F7" w14:textId="6D3D2DFD" w:rsidR="00175C72" w:rsidRDefault="00175C72" w:rsidP="00175C72">
      <w:pPr>
        <w:rPr>
          <w:rFonts w:ascii="Avenir Book" w:hAnsi="Avenir Book" w:cs="Avenir Book"/>
          <w:color w:val="000000"/>
        </w:rPr>
      </w:pPr>
      <w:r w:rsidRPr="00175C72">
        <w:rPr>
          <w:rFonts w:ascii="Avenir Book" w:hAnsi="Avenir Book" w:cs="Avenir Book"/>
          <w:color w:val="000000"/>
        </w:rPr>
        <w:t>En el apartado de anexos, encontrarás una Tabla de Referencia</w:t>
      </w:r>
      <w:r w:rsidRPr="00175C72">
        <w:rPr>
          <w:rFonts w:ascii="Avenir" w:hAnsi="Avenir" w:cs="Avenir"/>
          <w:color w:val="000000"/>
          <w:sz w:val="14"/>
          <w:szCs w:val="14"/>
        </w:rPr>
        <w:t xml:space="preserve">4 </w:t>
      </w:r>
      <w:r w:rsidRPr="00175C72">
        <w:rPr>
          <w:rFonts w:ascii="Avenir Book" w:hAnsi="Avenir Book" w:cs="Avenir Book"/>
          <w:color w:val="000000"/>
        </w:rPr>
        <w:t>que te permite comprender la CDN y esta división por categorías, pero sobre todo saber cuáles derechos entran en esta división.</w:t>
      </w:r>
    </w:p>
    <w:p w14:paraId="4F3695EF" w14:textId="1E0EDF37" w:rsidR="00175C72" w:rsidRDefault="00175C72" w:rsidP="00175C72">
      <w:pPr>
        <w:rPr>
          <w:rFonts w:ascii="Avenir Book" w:hAnsi="Avenir Book" w:cs="Avenir Book"/>
          <w:color w:val="000000"/>
        </w:rPr>
      </w:pPr>
      <w:r w:rsidRPr="00175C72">
        <w:rPr>
          <w:rFonts w:ascii="Avenir Book" w:hAnsi="Avenir Book" w:cs="Avenir Book"/>
          <w:color w:val="000000"/>
        </w:rPr>
        <w:t xml:space="preserve">La CDN establece </w:t>
      </w:r>
      <w:r w:rsidRPr="00175C72">
        <w:rPr>
          <w:rFonts w:ascii="Avenir Black" w:hAnsi="Avenir Black" w:cs="Avenir Black"/>
          <w:b/>
          <w:bCs/>
          <w:color w:val="000000"/>
        </w:rPr>
        <w:t xml:space="preserve">OBLIGACIONES y RESPONSA-BILIDADES </w:t>
      </w:r>
      <w:r w:rsidRPr="00175C72">
        <w:rPr>
          <w:rFonts w:ascii="Avenir Book" w:hAnsi="Avenir Book" w:cs="Avenir Book"/>
          <w:color w:val="000000"/>
        </w:rPr>
        <w:t xml:space="preserve">a </w:t>
      </w:r>
      <w:r w:rsidRPr="00175C72">
        <w:rPr>
          <w:rFonts w:ascii="Avenir Black" w:hAnsi="Avenir Black" w:cs="Avenir Black"/>
          <w:b/>
          <w:bCs/>
          <w:color w:val="000000"/>
        </w:rPr>
        <w:t xml:space="preserve">LOS ESTADOS </w:t>
      </w:r>
      <w:r w:rsidRPr="00175C72">
        <w:rPr>
          <w:rFonts w:ascii="Avenir Book" w:hAnsi="Avenir Book" w:cs="Avenir Book"/>
          <w:color w:val="000000"/>
        </w:rPr>
        <w:t xml:space="preserve">y </w:t>
      </w:r>
      <w:r w:rsidRPr="00175C72">
        <w:rPr>
          <w:rFonts w:ascii="Avenir Black" w:hAnsi="Avenir Black" w:cs="Avenir Black"/>
          <w:b/>
          <w:bCs/>
          <w:color w:val="000000"/>
        </w:rPr>
        <w:t xml:space="preserve">ROLES </w:t>
      </w:r>
      <w:r w:rsidRPr="00175C72">
        <w:rPr>
          <w:rFonts w:ascii="Avenir Book" w:hAnsi="Avenir Book" w:cs="Avenir Book"/>
          <w:color w:val="000000"/>
        </w:rPr>
        <w:t xml:space="preserve">a los diferentes actores no estatales. Incluso a niñas, niños y adolescentes les señala que son </w:t>
      </w:r>
      <w:r w:rsidRPr="00175C72">
        <w:rPr>
          <w:rFonts w:ascii="Avenir Black" w:hAnsi="Avenir Black" w:cs="Avenir Black"/>
          <w:b/>
          <w:bCs/>
          <w:color w:val="000000"/>
        </w:rPr>
        <w:t xml:space="preserve">SUJETOS DE DERECHOS </w:t>
      </w:r>
      <w:r w:rsidRPr="00175C72">
        <w:rPr>
          <w:rFonts w:ascii="Avenir Book" w:hAnsi="Avenir Book" w:cs="Avenir Book"/>
          <w:color w:val="000000"/>
        </w:rPr>
        <w:t xml:space="preserve">o bien </w:t>
      </w:r>
      <w:r w:rsidRPr="00175C72">
        <w:rPr>
          <w:rFonts w:ascii="Avenir Black" w:hAnsi="Avenir Black" w:cs="Avenir Black"/>
          <w:b/>
          <w:bCs/>
          <w:color w:val="000000"/>
        </w:rPr>
        <w:t xml:space="preserve">TITULARES </w:t>
      </w:r>
      <w:r w:rsidRPr="00175C72">
        <w:rPr>
          <w:rFonts w:ascii="Avenir Book" w:hAnsi="Avenir Book" w:cs="Avenir Book"/>
          <w:color w:val="000000"/>
        </w:rPr>
        <w:t>de derechos.</w:t>
      </w:r>
    </w:p>
    <w:p w14:paraId="3B95F954" w14:textId="5F1A3D0B" w:rsidR="00175C72" w:rsidRDefault="00175C72" w:rsidP="00175C72">
      <w:pPr>
        <w:rPr>
          <w:rFonts w:ascii="Avenir Book" w:hAnsi="Avenir Book" w:cs="Avenir Book"/>
          <w:color w:val="000000"/>
        </w:rPr>
      </w:pPr>
      <w:r w:rsidRPr="00175C72">
        <w:rPr>
          <w:rFonts w:ascii="Avenir Book" w:hAnsi="Avenir Book" w:cs="Avenir Book"/>
          <w:color w:val="000000"/>
        </w:rPr>
        <w:t>Al ser Sujetos de derechos, se les reconoce que tienen los mismos derechos que las personas adultas, pero que requieren de una protección integral por ser personas en desarrollo de sus capacidades.</w:t>
      </w:r>
    </w:p>
    <w:p w14:paraId="0CA4ABD6" w14:textId="2460E63E" w:rsidR="00C62CBF" w:rsidRDefault="00C62CBF" w:rsidP="00175C72">
      <w:pPr>
        <w:rPr>
          <w:rFonts w:ascii="Avenir Book" w:hAnsi="Avenir Book" w:cs="Avenir Book"/>
          <w:color w:val="000000"/>
        </w:rPr>
      </w:pPr>
    </w:p>
    <w:p w14:paraId="346DA686" w14:textId="77777777" w:rsidR="00C62CBF" w:rsidRDefault="00C62CBF" w:rsidP="00175C72">
      <w:pPr>
        <w:rPr>
          <w:rFonts w:ascii="Avenir Book" w:hAnsi="Avenir Book" w:cs="Avenir Book"/>
          <w:color w:val="000000"/>
        </w:rPr>
      </w:pPr>
    </w:p>
    <w:p w14:paraId="725C2ADE" w14:textId="77777777" w:rsidR="007D650B" w:rsidRDefault="007D650B" w:rsidP="007D650B">
      <w:pPr>
        <w:pStyle w:val="Pa9"/>
        <w:rPr>
          <w:rFonts w:ascii="Avenir Book" w:hAnsi="Avenir Book" w:cs="Avenir Book"/>
          <w:color w:val="000000"/>
          <w:sz w:val="14"/>
          <w:szCs w:val="14"/>
        </w:rPr>
      </w:pPr>
      <w:r>
        <w:rPr>
          <w:rFonts w:cs="Avenir"/>
          <w:color w:val="000000"/>
          <w:sz w:val="14"/>
          <w:szCs w:val="14"/>
        </w:rPr>
        <w:t xml:space="preserve">3 </w:t>
      </w:r>
      <w:proofErr w:type="gramStart"/>
      <w:r>
        <w:rPr>
          <w:rFonts w:ascii="Avenir Book" w:hAnsi="Avenir Book" w:cs="Avenir Book"/>
          <w:color w:val="000000"/>
          <w:sz w:val="14"/>
          <w:szCs w:val="14"/>
        </w:rPr>
        <w:t>La</w:t>
      </w:r>
      <w:proofErr w:type="gramEnd"/>
      <w:r>
        <w:rPr>
          <w:rFonts w:ascii="Avenir Book" w:hAnsi="Avenir Book" w:cs="Avenir Book"/>
          <w:color w:val="000000"/>
          <w:sz w:val="14"/>
          <w:szCs w:val="14"/>
        </w:rPr>
        <w:t xml:space="preserve"> Convención sobre los Derechos del Niño, no menciona a la niña en su título o su texto, a fin de no modificar lo contenido en el documento en esta publicación no se modifica dicho texto, pero aclaramos que es aplicable a las niñas y los niños. </w:t>
      </w:r>
    </w:p>
    <w:p w14:paraId="534CA8E1" w14:textId="54E57C5C" w:rsidR="00175C72" w:rsidRDefault="007D650B" w:rsidP="007D650B">
      <w:pPr>
        <w:rPr>
          <w:rFonts w:ascii="Avenir Book" w:hAnsi="Avenir Book" w:cs="Avenir Book"/>
          <w:color w:val="000000"/>
        </w:rPr>
      </w:pPr>
      <w:r>
        <w:rPr>
          <w:rFonts w:cs="Avenir"/>
          <w:color w:val="000000"/>
          <w:sz w:val="14"/>
          <w:szCs w:val="14"/>
        </w:rPr>
        <w:t xml:space="preserve">4 </w:t>
      </w:r>
      <w:proofErr w:type="gramStart"/>
      <w:r>
        <w:rPr>
          <w:rFonts w:ascii="Avenir Book" w:hAnsi="Avenir Book" w:cs="Avenir Book"/>
          <w:color w:val="000000"/>
          <w:sz w:val="14"/>
          <w:szCs w:val="14"/>
        </w:rPr>
        <w:t>Defensa</w:t>
      </w:r>
      <w:proofErr w:type="gramEnd"/>
      <w:r>
        <w:rPr>
          <w:rFonts w:ascii="Avenir Book" w:hAnsi="Avenir Book" w:cs="Avenir Book"/>
          <w:color w:val="000000"/>
          <w:sz w:val="14"/>
          <w:szCs w:val="14"/>
        </w:rPr>
        <w:t xml:space="preserve"> de Niñas y Niños –Internacional, DNI Costa Rica, Tabla de Referencia de la Convención sobre los Derechos de los Niños y la categorización de los Derechos Humanos, 2017 tercera edición.</w:t>
      </w:r>
    </w:p>
    <w:p w14:paraId="00C245D7" w14:textId="77777777" w:rsidR="00175C72" w:rsidRPr="00175C72" w:rsidRDefault="00175C72" w:rsidP="00175C72">
      <w:pPr>
        <w:rPr>
          <w:rFonts w:ascii="Brush Script MT" w:hAnsi="Brush Script MT" w:cs="Avenir Black"/>
          <w:b/>
          <w:bCs/>
          <w:color w:val="000000"/>
          <w:sz w:val="40"/>
          <w:szCs w:val="40"/>
        </w:rPr>
      </w:pPr>
      <w:r w:rsidRPr="00175C72">
        <w:rPr>
          <w:rStyle w:val="A3"/>
          <w:rFonts w:ascii="Brush Script MT" w:hAnsi="Brush Script MT"/>
          <w:sz w:val="40"/>
          <w:szCs w:val="40"/>
        </w:rPr>
        <w:lastRenderedPageBreak/>
        <w:t>¿Sabías qué?</w:t>
      </w:r>
    </w:p>
    <w:p w14:paraId="259E03CB" w14:textId="6D9A3FE3" w:rsidR="00175C72" w:rsidRDefault="00175C72" w:rsidP="00175C72">
      <w:pPr>
        <w:autoSpaceDE w:val="0"/>
        <w:autoSpaceDN w:val="0"/>
        <w:adjustRightInd w:val="0"/>
        <w:spacing w:after="0" w:line="241" w:lineRule="atLeast"/>
        <w:jc w:val="both"/>
        <w:rPr>
          <w:rFonts w:ascii="Avenir Book" w:hAnsi="Avenir Book" w:cs="Avenir Book"/>
          <w:color w:val="000000"/>
        </w:rPr>
      </w:pPr>
      <w:r w:rsidRPr="00175C72">
        <w:rPr>
          <w:rFonts w:ascii="Avenir Book" w:hAnsi="Avenir Book" w:cs="Avenir Book"/>
          <w:color w:val="000000"/>
        </w:rPr>
        <w:t xml:space="preserve">En el artículo 5 de la Convención, se habla de la evolución de capacidades, en este artículo se tratan 3 aspectos centrales: </w:t>
      </w:r>
    </w:p>
    <w:p w14:paraId="5191E62B" w14:textId="77777777" w:rsidR="00C62CBF" w:rsidRPr="00175C72" w:rsidRDefault="00C62CBF" w:rsidP="00175C72">
      <w:pPr>
        <w:autoSpaceDE w:val="0"/>
        <w:autoSpaceDN w:val="0"/>
        <w:adjustRightInd w:val="0"/>
        <w:spacing w:after="0" w:line="241" w:lineRule="atLeast"/>
        <w:jc w:val="both"/>
        <w:rPr>
          <w:rFonts w:ascii="Avenir Book" w:hAnsi="Avenir Book" w:cs="Avenir Book"/>
          <w:color w:val="000000"/>
        </w:rPr>
      </w:pPr>
    </w:p>
    <w:p w14:paraId="3A044FA0" w14:textId="6537DF74" w:rsidR="00175C72" w:rsidRDefault="00175C72" w:rsidP="00175C72">
      <w:pPr>
        <w:autoSpaceDE w:val="0"/>
        <w:autoSpaceDN w:val="0"/>
        <w:adjustRightInd w:val="0"/>
        <w:spacing w:after="0" w:line="241" w:lineRule="atLeast"/>
        <w:ind w:left="360"/>
        <w:jc w:val="both"/>
        <w:rPr>
          <w:rFonts w:ascii="Avenir Book" w:hAnsi="Avenir Book" w:cs="Avenir Book"/>
          <w:color w:val="000000"/>
        </w:rPr>
      </w:pPr>
      <w:r w:rsidRPr="00175C72">
        <w:rPr>
          <w:rFonts w:ascii="Avenir Book" w:hAnsi="Avenir Book" w:cs="Avenir Book"/>
          <w:color w:val="000000"/>
        </w:rPr>
        <w:t xml:space="preserve">• Que los padres, madres, tutores u otras personas encargadas tienen la responsabilidad de impartir dirección y orientación apropiada para su desarrollo integral y para que pueda ejercer sus Derechos Humanos y que esto debe ser de acuerdo al grado de madurez y evolución de capacidades del Niño; </w:t>
      </w:r>
    </w:p>
    <w:p w14:paraId="2B844B32" w14:textId="77777777" w:rsidR="00C62CBF" w:rsidRPr="00175C72" w:rsidRDefault="00C62CBF" w:rsidP="00175C72">
      <w:pPr>
        <w:autoSpaceDE w:val="0"/>
        <w:autoSpaceDN w:val="0"/>
        <w:adjustRightInd w:val="0"/>
        <w:spacing w:after="0" w:line="241" w:lineRule="atLeast"/>
        <w:ind w:left="360"/>
        <w:jc w:val="both"/>
        <w:rPr>
          <w:rFonts w:ascii="Avenir Book" w:hAnsi="Avenir Book" w:cs="Avenir Book"/>
          <w:color w:val="000000"/>
        </w:rPr>
      </w:pPr>
    </w:p>
    <w:p w14:paraId="526F6E89" w14:textId="0D457FC7" w:rsidR="00175C72" w:rsidRDefault="00175C72" w:rsidP="00175C72">
      <w:pPr>
        <w:autoSpaceDE w:val="0"/>
        <w:autoSpaceDN w:val="0"/>
        <w:adjustRightInd w:val="0"/>
        <w:spacing w:after="0" w:line="241" w:lineRule="atLeast"/>
        <w:ind w:left="360"/>
        <w:jc w:val="both"/>
        <w:rPr>
          <w:rFonts w:ascii="Avenir Book" w:hAnsi="Avenir Book" w:cs="Avenir Book"/>
          <w:color w:val="000000"/>
        </w:rPr>
      </w:pPr>
      <w:r w:rsidRPr="00175C72">
        <w:rPr>
          <w:rFonts w:ascii="Avenir Book" w:hAnsi="Avenir Book" w:cs="Avenir Book"/>
          <w:color w:val="000000"/>
        </w:rPr>
        <w:t xml:space="preserve">• Que la CDN define claramente que estas orientaciones y direcciones deben ser apropiadas lo que quiere decir que hay límites y que los padres, madres, tutores y/o responsables no pueden hacer con la niña, niño o adolescente lo que quieran y que si infringen y violentan Derechos Humanos el Estado puede y debe actuar y asumir esa dirección y orientación en un marco de protección y de respeto de los Derechos Humanos; y, </w:t>
      </w:r>
    </w:p>
    <w:p w14:paraId="3E43BB20" w14:textId="77777777" w:rsidR="00C62CBF" w:rsidRPr="00175C72" w:rsidRDefault="00C62CBF" w:rsidP="00175C72">
      <w:pPr>
        <w:autoSpaceDE w:val="0"/>
        <w:autoSpaceDN w:val="0"/>
        <w:adjustRightInd w:val="0"/>
        <w:spacing w:after="0" w:line="241" w:lineRule="atLeast"/>
        <w:ind w:left="360"/>
        <w:jc w:val="both"/>
        <w:rPr>
          <w:rFonts w:ascii="Avenir Book" w:hAnsi="Avenir Book" w:cs="Avenir Book"/>
          <w:color w:val="000000"/>
        </w:rPr>
      </w:pPr>
    </w:p>
    <w:p w14:paraId="17F06D91" w14:textId="476E9F8E" w:rsidR="00175C72" w:rsidRDefault="00175C72" w:rsidP="00175C72">
      <w:pPr>
        <w:autoSpaceDE w:val="0"/>
        <w:autoSpaceDN w:val="0"/>
        <w:adjustRightInd w:val="0"/>
        <w:spacing w:after="0" w:line="241" w:lineRule="atLeast"/>
        <w:ind w:left="360"/>
        <w:jc w:val="both"/>
        <w:rPr>
          <w:rFonts w:ascii="Avenir Book" w:hAnsi="Avenir Book" w:cs="Avenir Book"/>
          <w:color w:val="000000"/>
        </w:rPr>
      </w:pPr>
      <w:r w:rsidRPr="00175C72">
        <w:rPr>
          <w:rFonts w:ascii="Avenir Book" w:hAnsi="Avenir Book" w:cs="Avenir Book"/>
          <w:color w:val="000000"/>
        </w:rPr>
        <w:t xml:space="preserve">• Y el otro aspecto es que conforme la niña o niño vaya adquiriendo sus capacidades, su madurez, va siendo más autónomo en la toma de las decisiones y también en la participación más activa en los asuntos que les afectan y les interesan. </w:t>
      </w:r>
    </w:p>
    <w:p w14:paraId="79EBD7C2" w14:textId="77777777" w:rsidR="00C62CBF" w:rsidRPr="00175C72" w:rsidRDefault="00C62CBF" w:rsidP="00175C72">
      <w:pPr>
        <w:autoSpaceDE w:val="0"/>
        <w:autoSpaceDN w:val="0"/>
        <w:adjustRightInd w:val="0"/>
        <w:spacing w:after="0" w:line="241" w:lineRule="atLeast"/>
        <w:ind w:left="360"/>
        <w:jc w:val="both"/>
        <w:rPr>
          <w:rFonts w:ascii="Avenir Book" w:hAnsi="Avenir Book" w:cs="Avenir Book"/>
          <w:color w:val="000000"/>
        </w:rPr>
      </w:pPr>
    </w:p>
    <w:p w14:paraId="7DA80773" w14:textId="77777777" w:rsidR="00175C72" w:rsidRPr="00175C72" w:rsidRDefault="00175C72" w:rsidP="00175C72">
      <w:pPr>
        <w:autoSpaceDE w:val="0"/>
        <w:autoSpaceDN w:val="0"/>
        <w:adjustRightInd w:val="0"/>
        <w:spacing w:after="0" w:line="241" w:lineRule="atLeast"/>
        <w:jc w:val="both"/>
        <w:rPr>
          <w:rFonts w:ascii="Avenir Book" w:hAnsi="Avenir Book" w:cs="Avenir Book"/>
          <w:color w:val="000000"/>
        </w:rPr>
      </w:pPr>
      <w:r w:rsidRPr="00175C72">
        <w:rPr>
          <w:rFonts w:ascii="Avenir Book" w:hAnsi="Avenir Book" w:cs="Avenir Book"/>
          <w:color w:val="000000"/>
        </w:rPr>
        <w:t xml:space="preserve">Al ser sujeto de derechos, les da el reconocimiento como persona y actor social. </w:t>
      </w:r>
    </w:p>
    <w:p w14:paraId="79867801" w14:textId="77777777" w:rsidR="00C62CBF" w:rsidRDefault="00C62CBF" w:rsidP="00175C72">
      <w:pPr>
        <w:rPr>
          <w:rFonts w:ascii="Avenir Book" w:hAnsi="Avenir Book" w:cs="Avenir Book"/>
          <w:color w:val="000000"/>
        </w:rPr>
      </w:pPr>
    </w:p>
    <w:p w14:paraId="3E1BB9CC" w14:textId="67C13120" w:rsidR="00175C72" w:rsidRDefault="00175C72" w:rsidP="00175C72">
      <w:pPr>
        <w:rPr>
          <w:rFonts w:ascii="Avenir Book" w:hAnsi="Avenir Book" w:cs="Avenir Book"/>
          <w:color w:val="000000"/>
        </w:rPr>
      </w:pPr>
      <w:r w:rsidRPr="00175C72">
        <w:rPr>
          <w:rFonts w:ascii="Avenir Book" w:hAnsi="Avenir Book" w:cs="Avenir Book"/>
          <w:color w:val="000000"/>
        </w:rPr>
        <w:t>Al tener reconocidos sus Derechos Humanos, niñas y niños son reconocidos como ciudadanos y pueden ejercerla participando como actores sociales activos en la familia, en la comunidad, en la escuela, en la sociedad.</w:t>
      </w:r>
    </w:p>
    <w:p w14:paraId="02DEE425" w14:textId="3BE31A69" w:rsidR="00175C72" w:rsidRDefault="00175C72" w:rsidP="00175C72">
      <w:pPr>
        <w:rPr>
          <w:rFonts w:ascii="Avenir Book" w:hAnsi="Avenir Book" w:cs="Avenir Book"/>
          <w:color w:val="000000"/>
        </w:rPr>
      </w:pPr>
    </w:p>
    <w:p w14:paraId="11786AE4" w14:textId="77777777" w:rsidR="00175C72" w:rsidRPr="00175C72" w:rsidRDefault="00175C72" w:rsidP="00175C72">
      <w:pPr>
        <w:rPr>
          <w:rFonts w:ascii="Brush Script MT" w:hAnsi="Brush Script MT" w:cs="Avenir Black"/>
          <w:b/>
          <w:bCs/>
          <w:color w:val="000000"/>
          <w:sz w:val="40"/>
          <w:szCs w:val="40"/>
        </w:rPr>
      </w:pPr>
      <w:r w:rsidRPr="00175C72">
        <w:rPr>
          <w:rStyle w:val="A3"/>
          <w:rFonts w:ascii="Brush Script MT" w:hAnsi="Brush Script MT"/>
          <w:sz w:val="40"/>
          <w:szCs w:val="40"/>
        </w:rPr>
        <w:t>¿Sabías qué?</w:t>
      </w:r>
    </w:p>
    <w:p w14:paraId="5B80778A" w14:textId="77777777" w:rsidR="00175C72" w:rsidRPr="00175C72" w:rsidRDefault="00175C72" w:rsidP="00175C72">
      <w:pPr>
        <w:autoSpaceDE w:val="0"/>
        <w:autoSpaceDN w:val="0"/>
        <w:adjustRightInd w:val="0"/>
        <w:spacing w:after="0" w:line="241" w:lineRule="atLeast"/>
        <w:jc w:val="both"/>
        <w:rPr>
          <w:rFonts w:ascii="Avenir Book" w:hAnsi="Avenir Book" w:cs="Avenir Book"/>
          <w:color w:val="000000"/>
        </w:rPr>
      </w:pPr>
      <w:r w:rsidRPr="00175C72">
        <w:rPr>
          <w:rFonts w:ascii="Avenir Book" w:hAnsi="Avenir Book" w:cs="Avenir Book"/>
          <w:color w:val="000000"/>
        </w:rPr>
        <w:t xml:space="preserve">La CDN define una serie de principios de los Derechos Humanos. </w:t>
      </w:r>
    </w:p>
    <w:p w14:paraId="1279061E" w14:textId="24080F30" w:rsidR="00175C72" w:rsidRDefault="00175C72" w:rsidP="00175C72">
      <w:pPr>
        <w:rPr>
          <w:rFonts w:ascii="Avenir Book" w:hAnsi="Avenir Book" w:cs="Avenir Book"/>
          <w:color w:val="000000"/>
        </w:rPr>
      </w:pPr>
      <w:r w:rsidRPr="00175C72">
        <w:rPr>
          <w:rFonts w:ascii="Avenir Book" w:hAnsi="Avenir Book" w:cs="Avenir Book"/>
          <w:color w:val="000000"/>
        </w:rPr>
        <w:t>Sin ser un número cerrado, los que más se conocen son cuatro:</w:t>
      </w:r>
    </w:p>
    <w:p w14:paraId="643B6CAB" w14:textId="56C4B9DB" w:rsidR="007D650B" w:rsidRDefault="007D650B" w:rsidP="00175C72">
      <w:pPr>
        <w:rPr>
          <w:rFonts w:ascii="Avenir Book" w:hAnsi="Avenir Book" w:cs="Avenir Book"/>
          <w:color w:val="000000"/>
        </w:rPr>
      </w:pPr>
    </w:p>
    <w:p w14:paraId="7F12A8E1" w14:textId="6063E8C8" w:rsidR="007D650B" w:rsidRDefault="007D650B" w:rsidP="007D650B">
      <w:pPr>
        <w:pStyle w:val="Prrafodelista"/>
        <w:numPr>
          <w:ilvl w:val="0"/>
          <w:numId w:val="1"/>
        </w:numPr>
        <w:autoSpaceDE w:val="0"/>
        <w:autoSpaceDN w:val="0"/>
        <w:adjustRightInd w:val="0"/>
        <w:spacing w:after="0" w:line="241" w:lineRule="atLeast"/>
        <w:jc w:val="both"/>
        <w:rPr>
          <w:rFonts w:ascii="Avenir Book" w:hAnsi="Avenir Book" w:cs="Avenir Book"/>
          <w:color w:val="000000"/>
        </w:rPr>
      </w:pPr>
      <w:r w:rsidRPr="007D650B">
        <w:rPr>
          <w:rFonts w:ascii="Avenir Book" w:hAnsi="Avenir Book" w:cs="Avenir Book"/>
          <w:color w:val="000000"/>
          <w:sz w:val="24"/>
          <w:szCs w:val="24"/>
        </w:rPr>
        <w:t xml:space="preserve">El principio de la NO </w:t>
      </w:r>
      <w:r w:rsidRPr="007D650B">
        <w:rPr>
          <w:rFonts w:ascii="Avenir Book" w:hAnsi="Avenir Book" w:cs="Avenir Book"/>
          <w:color w:val="000000"/>
        </w:rPr>
        <w:t xml:space="preserve">DISCRIMINACION (art. 2 de la CDN): TODOS LOS DERECHOS HUMANOS PARA TODOS LOS NIÑOS, NIÑAS y ADOLESCENTES y contempla la igualdad de oportunidades para todos y todas; </w:t>
      </w:r>
    </w:p>
    <w:p w14:paraId="73E6232F" w14:textId="77777777" w:rsidR="007D650B" w:rsidRDefault="007D650B" w:rsidP="007D650B">
      <w:pPr>
        <w:pStyle w:val="Prrafodelista"/>
        <w:autoSpaceDE w:val="0"/>
        <w:autoSpaceDN w:val="0"/>
        <w:adjustRightInd w:val="0"/>
        <w:spacing w:after="0" w:line="241" w:lineRule="atLeast"/>
        <w:jc w:val="both"/>
        <w:rPr>
          <w:rFonts w:ascii="Avenir Book" w:hAnsi="Avenir Book" w:cs="Avenir Book"/>
          <w:color w:val="000000"/>
        </w:rPr>
      </w:pPr>
    </w:p>
    <w:p w14:paraId="27A60F58" w14:textId="7C0AC519" w:rsidR="007D650B" w:rsidRPr="00C62CBF" w:rsidRDefault="007D650B" w:rsidP="00C62CBF">
      <w:pPr>
        <w:pStyle w:val="Prrafodelista"/>
        <w:numPr>
          <w:ilvl w:val="0"/>
          <w:numId w:val="1"/>
        </w:numPr>
        <w:autoSpaceDE w:val="0"/>
        <w:autoSpaceDN w:val="0"/>
        <w:adjustRightInd w:val="0"/>
        <w:spacing w:after="0" w:line="241" w:lineRule="atLeast"/>
        <w:jc w:val="both"/>
        <w:rPr>
          <w:rFonts w:ascii="Avenir Book" w:hAnsi="Avenir Book" w:cs="Avenir Book"/>
          <w:color w:val="000000"/>
        </w:rPr>
      </w:pPr>
      <w:r w:rsidRPr="007D650B">
        <w:rPr>
          <w:rFonts w:ascii="Avenir Book" w:hAnsi="Avenir Book" w:cs="Avenir Book"/>
          <w:color w:val="000000"/>
        </w:rPr>
        <w:t xml:space="preserve">El principio de SUPERVIVENCIA y DESARROLLO (artículo 6 de la CDN): si bien NO hay jerarquía en los Derechos Humanos, es decir todos los Derechos Humanos son importantes, es claro que, para el desarrollo, la vida y la supervivencia, los Estados deben garantizar una serie de condiciones básicas; </w:t>
      </w:r>
    </w:p>
    <w:p w14:paraId="6EB8190E" w14:textId="77777777" w:rsidR="007D650B" w:rsidRDefault="007D650B" w:rsidP="007D650B">
      <w:pPr>
        <w:pStyle w:val="Prrafodelista"/>
        <w:autoSpaceDE w:val="0"/>
        <w:autoSpaceDN w:val="0"/>
        <w:adjustRightInd w:val="0"/>
        <w:spacing w:after="0" w:line="241" w:lineRule="atLeast"/>
        <w:jc w:val="both"/>
        <w:rPr>
          <w:rFonts w:ascii="Avenir Book" w:hAnsi="Avenir Book" w:cs="Avenir Book"/>
          <w:color w:val="000000"/>
        </w:rPr>
      </w:pPr>
    </w:p>
    <w:p w14:paraId="541AE950" w14:textId="6C975013" w:rsidR="007D650B" w:rsidRDefault="007D650B" w:rsidP="007D650B">
      <w:pPr>
        <w:pStyle w:val="Prrafodelista"/>
        <w:numPr>
          <w:ilvl w:val="0"/>
          <w:numId w:val="1"/>
        </w:numPr>
        <w:autoSpaceDE w:val="0"/>
        <w:autoSpaceDN w:val="0"/>
        <w:adjustRightInd w:val="0"/>
        <w:spacing w:after="0" w:line="241" w:lineRule="atLeast"/>
        <w:jc w:val="both"/>
        <w:rPr>
          <w:rFonts w:ascii="Avenir Book" w:hAnsi="Avenir Book" w:cs="Avenir Book"/>
          <w:color w:val="000000"/>
        </w:rPr>
      </w:pPr>
      <w:r w:rsidRPr="007D650B">
        <w:rPr>
          <w:rFonts w:ascii="Avenir Book" w:hAnsi="Avenir Book" w:cs="Avenir Book"/>
          <w:color w:val="000000"/>
        </w:rPr>
        <w:t>El principio del INTERES SUPERIOR DEL NIÑO (artículo 3 de la CDN), este es uno de los principios más difíciles de aplicar en la práctica, porque muchas veces prevalece la visión del adulto, sin embargo la decisión, ya sea administrativa, judicial o bien en el ámbito familiar, comunitario y escolar, debe</w:t>
      </w:r>
      <w:r>
        <w:rPr>
          <w:rFonts w:ascii="Avenir Book" w:hAnsi="Avenir Book" w:cs="Avenir Book"/>
          <w:color w:val="000000"/>
        </w:rPr>
        <w:t xml:space="preserve"> </w:t>
      </w:r>
      <w:r w:rsidRPr="007D650B">
        <w:rPr>
          <w:rFonts w:ascii="Avenir Book" w:hAnsi="Avenir Book" w:cs="Avenir Book"/>
          <w:color w:val="000000"/>
        </w:rPr>
        <w:t>basarse en que la decisión final es realmente por el bien de niñas, niños y adolescentes y esto no puede hacerse si no se contempla en las posibilidades existentes que conllevan a tomar una decisión, la opinión del niño o niña en todo momento; y,</w:t>
      </w:r>
    </w:p>
    <w:p w14:paraId="03E7D567" w14:textId="77777777" w:rsidR="007D650B" w:rsidRDefault="007D650B" w:rsidP="007D650B">
      <w:pPr>
        <w:pStyle w:val="Prrafodelista"/>
        <w:autoSpaceDE w:val="0"/>
        <w:autoSpaceDN w:val="0"/>
        <w:adjustRightInd w:val="0"/>
        <w:spacing w:after="0" w:line="241" w:lineRule="atLeast"/>
        <w:jc w:val="both"/>
        <w:rPr>
          <w:rFonts w:ascii="Avenir Book" w:hAnsi="Avenir Book" w:cs="Avenir Book"/>
          <w:color w:val="000000"/>
        </w:rPr>
      </w:pPr>
    </w:p>
    <w:p w14:paraId="03AE7178" w14:textId="6FF2847E" w:rsidR="007D650B" w:rsidRDefault="007D650B" w:rsidP="007D650B">
      <w:pPr>
        <w:pStyle w:val="Prrafodelista"/>
        <w:numPr>
          <w:ilvl w:val="0"/>
          <w:numId w:val="1"/>
        </w:numPr>
        <w:autoSpaceDE w:val="0"/>
        <w:autoSpaceDN w:val="0"/>
        <w:adjustRightInd w:val="0"/>
        <w:spacing w:after="0" w:line="241" w:lineRule="atLeast"/>
        <w:jc w:val="both"/>
        <w:rPr>
          <w:rFonts w:ascii="Avenir Book" w:hAnsi="Avenir Book" w:cs="Avenir Book"/>
          <w:color w:val="000000"/>
        </w:rPr>
      </w:pPr>
      <w:r>
        <w:rPr>
          <w:rFonts w:ascii="Avenir Book" w:hAnsi="Avenir Book" w:cs="Avenir Book"/>
          <w:color w:val="000000"/>
          <w:sz w:val="24"/>
          <w:szCs w:val="24"/>
        </w:rPr>
        <w:lastRenderedPageBreak/>
        <w:t xml:space="preserve">El </w:t>
      </w:r>
      <w:r w:rsidRPr="007D650B">
        <w:rPr>
          <w:rFonts w:ascii="Avenir Book" w:hAnsi="Avenir Book" w:cs="Avenir Book"/>
          <w:color w:val="000000"/>
          <w:sz w:val="24"/>
          <w:szCs w:val="24"/>
        </w:rPr>
        <w:t xml:space="preserve">principio de PARTICIPACION </w:t>
      </w:r>
      <w:r w:rsidRPr="007D650B">
        <w:rPr>
          <w:rFonts w:ascii="Avenir Book" w:hAnsi="Avenir Book" w:cs="Avenir Book"/>
          <w:color w:val="000000"/>
        </w:rPr>
        <w:t xml:space="preserve">(art. 12, 13, 14, 15, 16 y 17), si bien en muchas ocasiones se toma el artículo 12 que tiene que ver con el derecho a ser escuchado como el punto de partida para desencadenar la participación, lo cierto que este principio es más amplio y debe verse en relación con otros artículos, </w:t>
      </w:r>
      <w:proofErr w:type="gramStart"/>
      <w:r w:rsidRPr="007D650B">
        <w:rPr>
          <w:rFonts w:ascii="Avenir Book" w:hAnsi="Avenir Book" w:cs="Avenir Book"/>
          <w:color w:val="000000"/>
        </w:rPr>
        <w:t>que</w:t>
      </w:r>
      <w:proofErr w:type="gramEnd"/>
      <w:r w:rsidRPr="007D650B">
        <w:rPr>
          <w:rFonts w:ascii="Avenir Book" w:hAnsi="Avenir Book" w:cs="Avenir Book"/>
          <w:color w:val="000000"/>
        </w:rPr>
        <w:t xml:space="preserve"> vistos desde una mirada más integral, niñas, niños y adolescentes pueden participar y ser agentes sociales en espacios que les afectan y les interesan.</w:t>
      </w:r>
    </w:p>
    <w:p w14:paraId="19AC7BF4" w14:textId="77777777" w:rsidR="007D650B" w:rsidRPr="007D650B" w:rsidRDefault="007D650B" w:rsidP="007D650B">
      <w:pPr>
        <w:pStyle w:val="Prrafodelista"/>
        <w:rPr>
          <w:rFonts w:ascii="Avenir Book" w:hAnsi="Avenir Book" w:cs="Avenir Book"/>
          <w:color w:val="000000"/>
        </w:rPr>
      </w:pPr>
    </w:p>
    <w:p w14:paraId="484E3B0D" w14:textId="35A0C1A0" w:rsidR="007D650B" w:rsidRDefault="007D650B" w:rsidP="007D650B">
      <w:pPr>
        <w:autoSpaceDE w:val="0"/>
        <w:autoSpaceDN w:val="0"/>
        <w:adjustRightInd w:val="0"/>
        <w:spacing w:after="0" w:line="241" w:lineRule="atLeast"/>
        <w:jc w:val="both"/>
        <w:rPr>
          <w:rFonts w:ascii="Avenir Book" w:hAnsi="Avenir Book" w:cs="Avenir Book"/>
          <w:color w:val="000000"/>
        </w:rPr>
      </w:pPr>
      <w:r w:rsidRPr="007D650B">
        <w:rPr>
          <w:rFonts w:ascii="Avenir Book" w:hAnsi="Avenir Book" w:cs="Avenir Book"/>
          <w:color w:val="000000"/>
        </w:rPr>
        <w:t>Es decir que tienes el derecho a opinar, organizarte, a recibir información e informarte, a aportar, a proponer y a que te escuchen, a que te tomen en cuenta, a tener tu propio pensamiento, religión y credo y a que se te respete tu privacidad. Pero también debes articularlo a otros más como lo son los artículos 3, 5, 9 y 29.</w:t>
      </w:r>
    </w:p>
    <w:p w14:paraId="648FBC37" w14:textId="79346F94" w:rsidR="007D650B" w:rsidRDefault="007D650B" w:rsidP="007D650B">
      <w:pPr>
        <w:autoSpaceDE w:val="0"/>
        <w:autoSpaceDN w:val="0"/>
        <w:adjustRightInd w:val="0"/>
        <w:spacing w:after="0" w:line="241" w:lineRule="atLeast"/>
        <w:jc w:val="both"/>
        <w:rPr>
          <w:rFonts w:ascii="Avenir Book" w:hAnsi="Avenir Book" w:cs="Avenir Book"/>
          <w:color w:val="000000"/>
        </w:rPr>
      </w:pPr>
    </w:p>
    <w:p w14:paraId="6C0FCFB8" w14:textId="77777777" w:rsidR="007D650B" w:rsidRDefault="007D650B" w:rsidP="007D650B">
      <w:pPr>
        <w:autoSpaceDE w:val="0"/>
        <w:autoSpaceDN w:val="0"/>
        <w:adjustRightInd w:val="0"/>
        <w:spacing w:after="0" w:line="241" w:lineRule="atLeast"/>
        <w:jc w:val="both"/>
        <w:rPr>
          <w:noProof/>
        </w:rPr>
      </w:pPr>
    </w:p>
    <w:p w14:paraId="3FD587B5" w14:textId="55EC79F7" w:rsidR="007D650B" w:rsidRDefault="007D650B" w:rsidP="00C62CBF">
      <w:pPr>
        <w:autoSpaceDE w:val="0"/>
        <w:autoSpaceDN w:val="0"/>
        <w:adjustRightInd w:val="0"/>
        <w:spacing w:after="0" w:line="241" w:lineRule="atLeast"/>
        <w:jc w:val="center"/>
        <w:rPr>
          <w:noProof/>
        </w:rPr>
      </w:pPr>
      <w:r>
        <w:rPr>
          <w:noProof/>
        </w:rPr>
        <w:drawing>
          <wp:inline distT="0" distB="0" distL="0" distR="0" wp14:anchorId="3EC39918" wp14:editId="7A032F18">
            <wp:extent cx="5404021" cy="3403697"/>
            <wp:effectExtent l="0" t="0" r="635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42443" t="24767" r="20523" b="33764"/>
                    <a:stretch/>
                  </pic:blipFill>
                  <pic:spPr bwMode="auto">
                    <a:xfrm>
                      <a:off x="0" y="0"/>
                      <a:ext cx="5452008" cy="3433921"/>
                    </a:xfrm>
                    <a:prstGeom prst="rect">
                      <a:avLst/>
                    </a:prstGeom>
                    <a:ln>
                      <a:noFill/>
                    </a:ln>
                    <a:extLst>
                      <a:ext uri="{53640926-AAD7-44D8-BBD7-CCE9431645EC}">
                        <a14:shadowObscured xmlns:a14="http://schemas.microsoft.com/office/drawing/2010/main"/>
                      </a:ext>
                    </a:extLst>
                  </pic:spPr>
                </pic:pic>
              </a:graphicData>
            </a:graphic>
          </wp:inline>
        </w:drawing>
      </w:r>
    </w:p>
    <w:p w14:paraId="7F176B99" w14:textId="77777777" w:rsidR="007D650B" w:rsidRDefault="007D650B" w:rsidP="007D650B">
      <w:pPr>
        <w:autoSpaceDE w:val="0"/>
        <w:autoSpaceDN w:val="0"/>
        <w:adjustRightInd w:val="0"/>
        <w:spacing w:after="0" w:line="241" w:lineRule="atLeast"/>
        <w:jc w:val="both"/>
        <w:rPr>
          <w:rFonts w:ascii="Avenir Book" w:hAnsi="Avenir Book" w:cs="Avenir Book"/>
          <w:color w:val="000000"/>
        </w:rPr>
      </w:pPr>
    </w:p>
    <w:p w14:paraId="0657FE06" w14:textId="6732AAA5" w:rsidR="007D650B" w:rsidRDefault="007D650B" w:rsidP="007D650B">
      <w:pPr>
        <w:autoSpaceDE w:val="0"/>
        <w:autoSpaceDN w:val="0"/>
        <w:adjustRightInd w:val="0"/>
        <w:spacing w:after="0" w:line="241" w:lineRule="atLeast"/>
        <w:jc w:val="both"/>
        <w:rPr>
          <w:rFonts w:ascii="Avenir Book" w:hAnsi="Avenir Book" w:cs="Avenir Book"/>
          <w:color w:val="000000"/>
        </w:rPr>
      </w:pPr>
      <w:r w:rsidRPr="007D650B">
        <w:rPr>
          <w:rFonts w:ascii="Avenir Book" w:hAnsi="Avenir Book" w:cs="Avenir Book"/>
          <w:color w:val="000000"/>
        </w:rPr>
        <w:t xml:space="preserve">Si quieres profundizar más, puedes entrar a la página web de muchas organizaciones que se encuentran en tu país y otras que trabajan también en otros lugares. También puedes contactar a la Coalición o Red Nacional de tu país que sin duda ellos te darán más información al respecto. </w:t>
      </w:r>
    </w:p>
    <w:p w14:paraId="1DC97C25" w14:textId="77777777" w:rsidR="00C62CBF" w:rsidRPr="007D650B" w:rsidRDefault="00C62CBF" w:rsidP="007D650B">
      <w:pPr>
        <w:autoSpaceDE w:val="0"/>
        <w:autoSpaceDN w:val="0"/>
        <w:adjustRightInd w:val="0"/>
        <w:spacing w:after="0" w:line="241" w:lineRule="atLeast"/>
        <w:jc w:val="both"/>
        <w:rPr>
          <w:rFonts w:ascii="Avenir Book" w:hAnsi="Avenir Book" w:cs="Avenir Book"/>
          <w:color w:val="000000"/>
        </w:rPr>
      </w:pPr>
    </w:p>
    <w:p w14:paraId="6BA98CA8" w14:textId="78B8EF76" w:rsidR="007D650B" w:rsidRPr="007D650B" w:rsidRDefault="007D650B" w:rsidP="007D650B">
      <w:pPr>
        <w:autoSpaceDE w:val="0"/>
        <w:autoSpaceDN w:val="0"/>
        <w:adjustRightInd w:val="0"/>
        <w:spacing w:after="0" w:line="241" w:lineRule="atLeast"/>
        <w:jc w:val="both"/>
        <w:rPr>
          <w:rFonts w:ascii="Avenir Book" w:hAnsi="Avenir Book" w:cs="Avenir Book"/>
          <w:color w:val="000000"/>
        </w:rPr>
      </w:pPr>
      <w:r w:rsidRPr="007D650B">
        <w:rPr>
          <w:rFonts w:ascii="Avenir Book" w:hAnsi="Avenir Book" w:cs="Avenir Book"/>
          <w:color w:val="000000"/>
        </w:rPr>
        <w:t>No olvides tener una copia de la Convención para el trabajo de los grupos de niñas, niños y adolescentes es indispensable conocerla, estudiarla y comprenderla en todas sus dimensiones. La Tabla de referencia de la CDN que tienes en el anexo, puedes usarla cuando la necesites.</w:t>
      </w:r>
    </w:p>
    <w:sectPr w:rsidR="007D650B" w:rsidRPr="007D65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Black">
    <w:altName w:val="Avenir Black"/>
    <w:panose1 w:val="00000000000000000000"/>
    <w:charset w:val="00"/>
    <w:family w:val="swiss"/>
    <w:notTrueType/>
    <w:pitch w:val="default"/>
    <w:sig w:usb0="00000003" w:usb1="00000000" w:usb2="00000000" w:usb3="00000000" w:csb0="00000001" w:csb1="00000000"/>
  </w:font>
  <w:font w:name="Avenir Book">
    <w:altName w:val="Avenir Book"/>
    <w:panose1 w:val="00000000000000000000"/>
    <w:charset w:val="00"/>
    <w:family w:val="swiss"/>
    <w:notTrueType/>
    <w:pitch w:val="default"/>
    <w:sig w:usb0="00000003" w:usb1="00000000" w:usb2="00000000" w:usb3="00000000" w:csb0="00000001" w:csb1="00000000"/>
  </w:font>
  <w:font w:name="Avenir">
    <w:altName w:val="Avenir"/>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6D4736"/>
    <w:multiLevelType w:val="hybridMultilevel"/>
    <w:tmpl w:val="20407B1E"/>
    <w:lvl w:ilvl="0" w:tplc="41524F78">
      <w:start w:val="1"/>
      <w:numFmt w:val="decimal"/>
      <w:lvlText w:val="%1."/>
      <w:lvlJc w:val="left"/>
      <w:pPr>
        <w:ind w:left="720" w:hanging="360"/>
      </w:pPr>
      <w:rPr>
        <w:rFonts w:hint="default"/>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72"/>
    <w:rsid w:val="00175C72"/>
    <w:rsid w:val="00693C40"/>
    <w:rsid w:val="007D650B"/>
    <w:rsid w:val="00C62CB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B556F"/>
  <w15:chartTrackingRefBased/>
  <w15:docId w15:val="{B40E0184-D516-4616-A5D2-B6B2D92E1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2">
    <w:name w:val="Pa2"/>
    <w:basedOn w:val="Normal"/>
    <w:next w:val="Normal"/>
    <w:uiPriority w:val="99"/>
    <w:rsid w:val="00175C72"/>
    <w:pPr>
      <w:autoSpaceDE w:val="0"/>
      <w:autoSpaceDN w:val="0"/>
      <w:adjustRightInd w:val="0"/>
      <w:spacing w:after="0" w:line="241" w:lineRule="atLeast"/>
    </w:pPr>
    <w:rPr>
      <w:rFonts w:ascii="Avenir Black" w:hAnsi="Avenir Black"/>
      <w:sz w:val="24"/>
      <w:szCs w:val="24"/>
    </w:rPr>
  </w:style>
  <w:style w:type="character" w:customStyle="1" w:styleId="A3">
    <w:name w:val="A3"/>
    <w:uiPriority w:val="99"/>
    <w:rsid w:val="00175C72"/>
    <w:rPr>
      <w:rFonts w:cs="Avenir Black"/>
      <w:b/>
      <w:bCs/>
      <w:color w:val="000000"/>
      <w:sz w:val="22"/>
      <w:szCs w:val="22"/>
    </w:rPr>
  </w:style>
  <w:style w:type="paragraph" w:customStyle="1" w:styleId="Pa1">
    <w:name w:val="Pa1"/>
    <w:basedOn w:val="Normal"/>
    <w:next w:val="Normal"/>
    <w:uiPriority w:val="99"/>
    <w:rsid w:val="00175C72"/>
    <w:pPr>
      <w:autoSpaceDE w:val="0"/>
      <w:autoSpaceDN w:val="0"/>
      <w:adjustRightInd w:val="0"/>
      <w:spacing w:after="0" w:line="241" w:lineRule="atLeast"/>
    </w:pPr>
    <w:rPr>
      <w:rFonts w:ascii="Avenir Book" w:hAnsi="Avenir Book"/>
      <w:sz w:val="24"/>
      <w:szCs w:val="24"/>
    </w:rPr>
  </w:style>
  <w:style w:type="paragraph" w:customStyle="1" w:styleId="Pa10">
    <w:name w:val="Pa10"/>
    <w:basedOn w:val="Normal"/>
    <w:next w:val="Normal"/>
    <w:uiPriority w:val="99"/>
    <w:rsid w:val="00175C72"/>
    <w:pPr>
      <w:autoSpaceDE w:val="0"/>
      <w:autoSpaceDN w:val="0"/>
      <w:adjustRightInd w:val="0"/>
      <w:spacing w:after="0" w:line="241" w:lineRule="atLeast"/>
    </w:pPr>
    <w:rPr>
      <w:rFonts w:ascii="Avenir Book" w:hAnsi="Avenir Book"/>
      <w:sz w:val="24"/>
      <w:szCs w:val="24"/>
    </w:rPr>
  </w:style>
  <w:style w:type="character" w:customStyle="1" w:styleId="A17">
    <w:name w:val="A17"/>
    <w:uiPriority w:val="99"/>
    <w:rsid w:val="00175C72"/>
    <w:rPr>
      <w:rFonts w:ascii="Avenir" w:hAnsi="Avenir" w:cs="Avenir"/>
      <w:color w:val="000000"/>
      <w:sz w:val="14"/>
      <w:szCs w:val="14"/>
    </w:rPr>
  </w:style>
  <w:style w:type="paragraph" w:customStyle="1" w:styleId="Pa8">
    <w:name w:val="Pa8"/>
    <w:basedOn w:val="Normal"/>
    <w:next w:val="Normal"/>
    <w:uiPriority w:val="99"/>
    <w:rsid w:val="00175C72"/>
    <w:pPr>
      <w:autoSpaceDE w:val="0"/>
      <w:autoSpaceDN w:val="0"/>
      <w:adjustRightInd w:val="0"/>
      <w:spacing w:after="0" w:line="241" w:lineRule="atLeast"/>
    </w:pPr>
    <w:rPr>
      <w:rFonts w:ascii="Avenir Book" w:hAnsi="Avenir Book"/>
      <w:sz w:val="24"/>
      <w:szCs w:val="24"/>
    </w:rPr>
  </w:style>
  <w:style w:type="paragraph" w:styleId="Prrafodelista">
    <w:name w:val="List Paragraph"/>
    <w:basedOn w:val="Normal"/>
    <w:uiPriority w:val="34"/>
    <w:qFormat/>
    <w:rsid w:val="007D650B"/>
    <w:pPr>
      <w:ind w:left="720"/>
      <w:contextualSpacing/>
    </w:pPr>
  </w:style>
  <w:style w:type="paragraph" w:customStyle="1" w:styleId="Pa9">
    <w:name w:val="Pa9"/>
    <w:basedOn w:val="Normal"/>
    <w:next w:val="Normal"/>
    <w:uiPriority w:val="99"/>
    <w:rsid w:val="007D650B"/>
    <w:pPr>
      <w:autoSpaceDE w:val="0"/>
      <w:autoSpaceDN w:val="0"/>
      <w:adjustRightInd w:val="0"/>
      <w:spacing w:after="0" w:line="141" w:lineRule="atLeast"/>
    </w:pPr>
    <w:rPr>
      <w:rFonts w:ascii="Avenir" w:hAnsi="Aveni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923</Words>
  <Characters>5079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Verónica Alejandra Pérez García</dc:creator>
  <cp:keywords/>
  <dc:description/>
  <cp:lastModifiedBy>Verónica Alejandra Pérez García</cp:lastModifiedBy>
  <cp:revision>1</cp:revision>
  <dcterms:created xsi:type="dcterms:W3CDTF">2022-03-02T02:20:00Z</dcterms:created>
  <dcterms:modified xsi:type="dcterms:W3CDTF">2022-03-02T03:09:00Z</dcterms:modified>
</cp:coreProperties>
</file>