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A4A35" w14:textId="745803FE" w:rsidR="00821E70" w:rsidRPr="00C558DB" w:rsidRDefault="00821E70" w:rsidP="00821E70">
      <w:pPr>
        <w:jc w:val="right"/>
        <w:rPr>
          <w:rFonts w:ascii="Arial" w:eastAsia="Century Gothic" w:hAnsi="Arial" w:cs="Arial"/>
          <w:b/>
          <w:color w:val="000000"/>
          <w:sz w:val="22"/>
          <w:szCs w:val="22"/>
        </w:rPr>
      </w:pPr>
      <w:bookmarkStart w:id="0" w:name="_Hlk98283731"/>
      <w:bookmarkEnd w:id="0"/>
      <w:r w:rsidRPr="00C558DB">
        <w:rPr>
          <w:rFonts w:ascii="Arial" w:eastAsia="Century Gothic" w:hAnsi="Arial" w:cs="Arial"/>
          <w:b/>
          <w:color w:val="000000"/>
          <w:sz w:val="22"/>
          <w:szCs w:val="22"/>
        </w:rPr>
        <w:t>Ciudad de México</w:t>
      </w:r>
      <w:r>
        <w:rPr>
          <w:rFonts w:ascii="Arial" w:eastAsia="Century Gothic" w:hAnsi="Arial" w:cs="Arial"/>
          <w:b/>
          <w:color w:val="000000"/>
          <w:sz w:val="22"/>
          <w:szCs w:val="22"/>
        </w:rPr>
        <w:t>,</w:t>
      </w:r>
      <w:r w:rsidRPr="00C558DB">
        <w:rPr>
          <w:rFonts w:ascii="Arial" w:eastAsia="Century Gothic" w:hAnsi="Arial" w:cs="Arial"/>
          <w:b/>
          <w:color w:val="000000"/>
          <w:sz w:val="22"/>
          <w:szCs w:val="22"/>
        </w:rPr>
        <w:t xml:space="preserve"> </w:t>
      </w:r>
      <w:r w:rsidR="005343FC">
        <w:rPr>
          <w:rFonts w:ascii="Arial" w:eastAsia="Century Gothic" w:hAnsi="Arial" w:cs="Arial"/>
          <w:b/>
          <w:color w:val="000000"/>
          <w:sz w:val="22"/>
          <w:szCs w:val="22"/>
        </w:rPr>
        <w:t>m</w:t>
      </w:r>
      <w:r>
        <w:rPr>
          <w:rFonts w:ascii="Arial" w:eastAsia="Century Gothic" w:hAnsi="Arial" w:cs="Arial"/>
          <w:b/>
          <w:color w:val="000000"/>
          <w:sz w:val="22"/>
          <w:szCs w:val="22"/>
        </w:rPr>
        <w:t>arzo</w:t>
      </w:r>
      <w:r w:rsidRPr="00C558DB">
        <w:rPr>
          <w:rFonts w:ascii="Arial" w:eastAsia="Century Gothic" w:hAnsi="Arial" w:cs="Arial"/>
          <w:b/>
          <w:color w:val="000000"/>
          <w:sz w:val="22"/>
          <w:szCs w:val="22"/>
        </w:rPr>
        <w:t xml:space="preserve"> de 2022 </w:t>
      </w:r>
    </w:p>
    <w:p w14:paraId="74CD93D7" w14:textId="77777777" w:rsidR="00821E70" w:rsidRPr="00C558DB" w:rsidRDefault="00821E70" w:rsidP="00821E70">
      <w:pPr>
        <w:jc w:val="right"/>
        <w:rPr>
          <w:rFonts w:ascii="Arial" w:eastAsia="Century Gothic" w:hAnsi="Arial" w:cs="Arial"/>
          <w:b/>
          <w:color w:val="000000"/>
          <w:sz w:val="22"/>
          <w:szCs w:val="22"/>
        </w:rPr>
      </w:pPr>
    </w:p>
    <w:p w14:paraId="0DAD8EFA" w14:textId="77777777" w:rsidR="00821E70" w:rsidRDefault="00821E70" w:rsidP="00821E70">
      <w:pPr>
        <w:jc w:val="right"/>
        <w:rPr>
          <w:rFonts w:ascii="Arial" w:eastAsia="Century Gothic" w:hAnsi="Arial" w:cs="Arial"/>
          <w:b/>
          <w:color w:val="FFC000"/>
          <w:sz w:val="22"/>
          <w:szCs w:val="22"/>
        </w:rPr>
      </w:pPr>
      <w:r w:rsidRPr="00C558DB">
        <w:rPr>
          <w:rFonts w:ascii="Arial" w:eastAsia="Century Gothic" w:hAnsi="Arial" w:cs="Arial"/>
          <w:b/>
          <w:color w:val="FFC000"/>
          <w:sz w:val="22"/>
          <w:szCs w:val="22"/>
        </w:rPr>
        <w:t>Nomenclatura PI</w:t>
      </w:r>
      <w:r>
        <w:rPr>
          <w:rFonts w:ascii="Arial" w:eastAsia="Century Gothic" w:hAnsi="Arial" w:cs="Arial"/>
          <w:b/>
          <w:color w:val="FFC000"/>
          <w:sz w:val="22"/>
          <w:szCs w:val="22"/>
        </w:rPr>
        <w:t>P</w:t>
      </w:r>
      <w:r w:rsidRPr="00C558DB">
        <w:rPr>
          <w:rFonts w:ascii="Arial" w:eastAsia="Century Gothic" w:hAnsi="Arial" w:cs="Arial"/>
          <w:b/>
          <w:color w:val="FFC000"/>
          <w:sz w:val="22"/>
          <w:szCs w:val="22"/>
        </w:rPr>
        <w:t>LC</w:t>
      </w:r>
    </w:p>
    <w:p w14:paraId="5652C7A3" w14:textId="77777777" w:rsidR="00821E70" w:rsidRPr="00C558DB" w:rsidRDefault="00821E70" w:rsidP="00821E70">
      <w:pPr>
        <w:jc w:val="right"/>
        <w:rPr>
          <w:rFonts w:ascii="Arial" w:eastAsia="Century Gothic" w:hAnsi="Arial" w:cs="Arial"/>
          <w:b/>
          <w:color w:val="000000"/>
          <w:sz w:val="22"/>
          <w:szCs w:val="22"/>
        </w:rPr>
      </w:pPr>
      <w:r w:rsidRPr="00C558DB">
        <w:rPr>
          <w:rFonts w:ascii="Arial" w:eastAsia="Century Gothic" w:hAnsi="Arial" w:cs="Arial"/>
          <w:b/>
          <w:color w:val="FFC000"/>
          <w:sz w:val="22"/>
          <w:szCs w:val="22"/>
        </w:rPr>
        <w:t xml:space="preserve"> </w:t>
      </w:r>
    </w:p>
    <w:p w14:paraId="40C1A89C" w14:textId="77777777" w:rsidR="00821E70" w:rsidRPr="00C558DB" w:rsidRDefault="00821E70" w:rsidP="00821E70">
      <w:pPr>
        <w:jc w:val="right"/>
        <w:rPr>
          <w:rFonts w:ascii="Arial" w:eastAsia="Century Gothic" w:hAnsi="Arial" w:cs="Arial"/>
          <w:b/>
          <w:color w:val="000000"/>
          <w:sz w:val="22"/>
          <w:szCs w:val="22"/>
        </w:rPr>
      </w:pPr>
      <w:r w:rsidRPr="00CE29C8">
        <w:rPr>
          <w:rFonts w:ascii="Arial" w:eastAsia="Century Gothic" w:hAnsi="Arial" w:cs="Arial"/>
          <w:b/>
          <w:sz w:val="22"/>
          <w:szCs w:val="22"/>
        </w:rPr>
        <w:t>Plan de Incidencia Política</w:t>
      </w:r>
      <w:r w:rsidRPr="00C558DB">
        <w:rPr>
          <w:rFonts w:ascii="Arial" w:eastAsia="Century Gothic" w:hAnsi="Arial" w:cs="Arial"/>
          <w:b/>
          <w:color w:val="000000"/>
          <w:sz w:val="22"/>
          <w:szCs w:val="22"/>
        </w:rPr>
        <w:t xml:space="preserve"> “LOGRANDO CAMBIOS” </w:t>
      </w:r>
    </w:p>
    <w:p w14:paraId="4BBD19CE" w14:textId="3DB2655C" w:rsidR="005B1D7F" w:rsidRDefault="005B1D7F"/>
    <w:p w14:paraId="7695E8B2" w14:textId="77777777" w:rsidR="00821E70" w:rsidRDefault="00821E70" w:rsidP="00821E70">
      <w:pPr>
        <w:shd w:val="clear" w:color="auto" w:fill="FFFFFF"/>
        <w:rPr>
          <w:rFonts w:ascii="Arial" w:hAnsi="Arial" w:cs="Arial"/>
          <w:sz w:val="20"/>
          <w:szCs w:val="20"/>
        </w:rPr>
      </w:pPr>
    </w:p>
    <w:p w14:paraId="3A8B2C4C" w14:textId="77777777" w:rsidR="00821E70" w:rsidRDefault="00821E70" w:rsidP="00821E70">
      <w:pPr>
        <w:shd w:val="clear" w:color="auto" w:fill="FFFFFF"/>
        <w:rPr>
          <w:rFonts w:ascii="Arial" w:hAnsi="Arial" w:cs="Arial"/>
          <w:sz w:val="20"/>
          <w:szCs w:val="20"/>
        </w:rPr>
      </w:pPr>
    </w:p>
    <w:p w14:paraId="17E23E7E" w14:textId="700CEA73" w:rsidR="00821E70" w:rsidRPr="00821E70" w:rsidRDefault="00821E70" w:rsidP="00821E70">
      <w:pPr>
        <w:shd w:val="clear" w:color="auto" w:fill="FFFFFF"/>
        <w:rPr>
          <w:rFonts w:ascii="Arial" w:hAnsi="Arial" w:cs="Arial"/>
          <w:color w:val="475F7B"/>
          <w:sz w:val="20"/>
          <w:szCs w:val="20"/>
        </w:rPr>
      </w:pPr>
      <w:r w:rsidRPr="00821E70">
        <w:rPr>
          <w:rFonts w:ascii="Arial" w:hAnsi="Arial" w:cs="Arial"/>
          <w:sz w:val="20"/>
          <w:szCs w:val="20"/>
        </w:rPr>
        <w:t xml:space="preserve">CUADERNILLO REFERENCIAL </w:t>
      </w:r>
      <w:hyperlink r:id="rId5" w:history="1">
        <w:r w:rsidRPr="00821E70">
          <w:rPr>
            <w:rStyle w:val="Hipervnculo"/>
            <w:rFonts w:ascii="Arial" w:hAnsi="Arial" w:cs="Arial"/>
            <w:sz w:val="20"/>
            <w:szCs w:val="20"/>
          </w:rPr>
          <w:t>https://tejiendoredesinfancia.org/publicaciones/logrando-cambios</w:t>
        </w:r>
      </w:hyperlink>
    </w:p>
    <w:p w14:paraId="18192662" w14:textId="77777777" w:rsidR="00821E70" w:rsidRPr="00821E70" w:rsidRDefault="00821E70">
      <w:pPr>
        <w:rPr>
          <w:sz w:val="20"/>
          <w:szCs w:val="20"/>
        </w:rPr>
      </w:pPr>
    </w:p>
    <w:p w14:paraId="7C0D3ECE" w14:textId="77777777" w:rsidR="00821E70" w:rsidRPr="00DB297C" w:rsidRDefault="00821E70" w:rsidP="00821E70">
      <w:pPr>
        <w:jc w:val="both"/>
        <w:rPr>
          <w:rFonts w:ascii="Arial" w:eastAsia="Century Gothic" w:hAnsi="Arial" w:cs="Arial"/>
          <w:sz w:val="20"/>
          <w:szCs w:val="20"/>
        </w:rPr>
      </w:pPr>
      <w:r w:rsidRPr="00DB297C">
        <w:rPr>
          <w:rFonts w:ascii="Arial" w:eastAsia="Century Gothic" w:hAnsi="Arial" w:cs="Arial"/>
          <w:sz w:val="20"/>
          <w:szCs w:val="20"/>
        </w:rPr>
        <w:t>Referencias ANEXOS PP. 49-57</w:t>
      </w:r>
    </w:p>
    <w:p w14:paraId="232F52E8" w14:textId="77777777" w:rsidR="00821E70" w:rsidRPr="00DB297C" w:rsidRDefault="00821E70" w:rsidP="00821E70">
      <w:pPr>
        <w:numPr>
          <w:ilvl w:val="0"/>
          <w:numId w:val="2"/>
        </w:numPr>
        <w:jc w:val="both"/>
        <w:rPr>
          <w:rFonts w:ascii="Arial" w:eastAsia="Century Gothic" w:hAnsi="Arial" w:cs="Arial"/>
          <w:sz w:val="20"/>
          <w:szCs w:val="20"/>
        </w:rPr>
      </w:pPr>
      <w:r w:rsidRPr="00DB297C">
        <w:rPr>
          <w:rFonts w:ascii="Arial" w:eastAsia="Century Gothic" w:hAnsi="Arial" w:cs="Arial"/>
          <w:sz w:val="20"/>
          <w:szCs w:val="20"/>
        </w:rPr>
        <w:t>Recursos adicionales para la Incidencia Política</w:t>
      </w:r>
    </w:p>
    <w:p w14:paraId="698C61AD" w14:textId="77777777" w:rsidR="00821E70" w:rsidRPr="00DB297C" w:rsidRDefault="00821E70" w:rsidP="00821E70">
      <w:pPr>
        <w:numPr>
          <w:ilvl w:val="0"/>
          <w:numId w:val="2"/>
        </w:numPr>
        <w:jc w:val="both"/>
        <w:rPr>
          <w:rFonts w:ascii="Arial" w:eastAsia="Century Gothic" w:hAnsi="Arial" w:cs="Arial"/>
          <w:sz w:val="20"/>
          <w:szCs w:val="20"/>
        </w:rPr>
      </w:pPr>
      <w:r w:rsidRPr="00DB297C">
        <w:rPr>
          <w:rFonts w:ascii="Arial" w:eastAsia="Century Gothic" w:hAnsi="Arial" w:cs="Arial"/>
          <w:sz w:val="20"/>
          <w:szCs w:val="20"/>
        </w:rPr>
        <w:t>Cuestionario base para las entrevistas</w:t>
      </w:r>
    </w:p>
    <w:p w14:paraId="498C0A0E" w14:textId="77777777" w:rsidR="00821E70" w:rsidRPr="00DB297C" w:rsidRDefault="00821E70" w:rsidP="00821E70">
      <w:pPr>
        <w:numPr>
          <w:ilvl w:val="0"/>
          <w:numId w:val="2"/>
        </w:numPr>
        <w:jc w:val="both"/>
        <w:rPr>
          <w:rFonts w:ascii="Arial" w:eastAsia="Century Gothic" w:hAnsi="Arial" w:cs="Arial"/>
          <w:sz w:val="20"/>
          <w:szCs w:val="20"/>
        </w:rPr>
      </w:pPr>
      <w:r w:rsidRPr="00DB297C">
        <w:rPr>
          <w:rFonts w:ascii="Arial" w:eastAsia="Century Gothic" w:hAnsi="Arial" w:cs="Arial"/>
          <w:sz w:val="20"/>
          <w:szCs w:val="20"/>
        </w:rPr>
        <w:t>Información sobre Espacios de Incidencia Política a nivel regional</w:t>
      </w:r>
    </w:p>
    <w:p w14:paraId="1C6A9D9E" w14:textId="77777777" w:rsidR="00821E70" w:rsidRPr="00DB297C" w:rsidRDefault="00821E70" w:rsidP="00821E70">
      <w:pPr>
        <w:numPr>
          <w:ilvl w:val="0"/>
          <w:numId w:val="2"/>
        </w:numPr>
        <w:jc w:val="both"/>
        <w:rPr>
          <w:rFonts w:ascii="Arial" w:eastAsia="Century Gothic" w:hAnsi="Arial" w:cs="Arial"/>
          <w:sz w:val="20"/>
          <w:szCs w:val="20"/>
        </w:rPr>
      </w:pPr>
      <w:r w:rsidRPr="00DB297C">
        <w:rPr>
          <w:rFonts w:ascii="Arial" w:eastAsia="Century Gothic" w:hAnsi="Arial" w:cs="Arial"/>
          <w:sz w:val="20"/>
          <w:szCs w:val="20"/>
        </w:rPr>
        <w:t>Tabla de Referencia de la Convención sobre los Derechos del Niño.</w:t>
      </w:r>
    </w:p>
    <w:p w14:paraId="412D8AC5" w14:textId="77777777" w:rsidR="00821E70" w:rsidRPr="00DB297C" w:rsidRDefault="00821E70" w:rsidP="00821E70">
      <w:pPr>
        <w:jc w:val="both"/>
        <w:rPr>
          <w:rFonts w:ascii="Arial" w:eastAsia="Century Gothic" w:hAnsi="Arial" w:cs="Arial"/>
          <w:sz w:val="20"/>
          <w:szCs w:val="20"/>
        </w:rPr>
      </w:pPr>
    </w:p>
    <w:p w14:paraId="0B316F47" w14:textId="77777777" w:rsidR="00821E70" w:rsidRPr="00DB297C" w:rsidRDefault="00821E70" w:rsidP="00821E70">
      <w:pPr>
        <w:spacing w:after="200" w:line="276" w:lineRule="auto"/>
        <w:jc w:val="both"/>
        <w:rPr>
          <w:rFonts w:ascii="Arial" w:eastAsia="Century Gothic" w:hAnsi="Arial" w:cs="Arial"/>
          <w:sz w:val="20"/>
          <w:szCs w:val="20"/>
        </w:rPr>
      </w:pPr>
      <w:r w:rsidRPr="00DB297C">
        <w:rPr>
          <w:rFonts w:ascii="Arial" w:eastAsia="Century Gothic" w:hAnsi="Arial" w:cs="Arial"/>
          <w:sz w:val="20"/>
          <w:szCs w:val="20"/>
        </w:rPr>
        <w:t>BIBLIOGRAFÍA</w:t>
      </w:r>
    </w:p>
    <w:p w14:paraId="0286A3C1" w14:textId="77777777" w:rsidR="00821E70" w:rsidRPr="00DB297C" w:rsidRDefault="00821E70" w:rsidP="00821E70">
      <w:pPr>
        <w:numPr>
          <w:ilvl w:val="0"/>
          <w:numId w:val="1"/>
        </w:numPr>
        <w:spacing w:line="276" w:lineRule="auto"/>
        <w:jc w:val="both"/>
        <w:rPr>
          <w:rFonts w:ascii="Arial" w:eastAsia="Century Gothic" w:hAnsi="Arial" w:cs="Arial"/>
          <w:color w:val="000000"/>
          <w:sz w:val="20"/>
          <w:szCs w:val="20"/>
        </w:rPr>
      </w:pPr>
      <w:r w:rsidRPr="00DB297C">
        <w:rPr>
          <w:rFonts w:ascii="Arial" w:eastAsia="Century Gothic" w:hAnsi="Arial" w:cs="Arial"/>
          <w:color w:val="000000"/>
          <w:sz w:val="20"/>
          <w:szCs w:val="20"/>
        </w:rPr>
        <w:t>Convención sobre los Derechos del Niño de Naciones Unidas, 1989</w:t>
      </w:r>
    </w:p>
    <w:p w14:paraId="0244D5FE" w14:textId="77777777" w:rsidR="00821E70" w:rsidRPr="00DB297C" w:rsidRDefault="00821E70" w:rsidP="00821E70">
      <w:pPr>
        <w:numPr>
          <w:ilvl w:val="0"/>
          <w:numId w:val="1"/>
        </w:numPr>
        <w:spacing w:line="276" w:lineRule="auto"/>
        <w:jc w:val="both"/>
        <w:rPr>
          <w:rFonts w:ascii="Arial" w:eastAsia="Century Gothic" w:hAnsi="Arial" w:cs="Arial"/>
          <w:color w:val="000000"/>
          <w:sz w:val="20"/>
          <w:szCs w:val="20"/>
        </w:rPr>
      </w:pPr>
      <w:r w:rsidRPr="00DB297C">
        <w:rPr>
          <w:rFonts w:ascii="Arial" w:eastAsia="Century Gothic" w:hAnsi="Arial" w:cs="Arial"/>
          <w:color w:val="000000"/>
          <w:sz w:val="20"/>
          <w:szCs w:val="20"/>
        </w:rPr>
        <w:t>Defensa de Niñas y Niños – Internacional, DNI Costa Rica: Los grupos de sensibilización como espacios de crecimiento conjunto, Material de Apoyo para Facilitadores(as) de Grupos Comunales de Sensibilización en Promoción y Defensa de Derechos de los Niños, Niñas y Adolescentes, 2000</w:t>
      </w:r>
    </w:p>
    <w:p w14:paraId="25D23191" w14:textId="77777777" w:rsidR="00821E70" w:rsidRPr="00DB297C" w:rsidRDefault="00821E70" w:rsidP="00821E70">
      <w:pPr>
        <w:numPr>
          <w:ilvl w:val="0"/>
          <w:numId w:val="1"/>
        </w:numPr>
        <w:spacing w:line="276" w:lineRule="auto"/>
        <w:jc w:val="both"/>
        <w:rPr>
          <w:rFonts w:ascii="Arial" w:eastAsia="Century Gothic" w:hAnsi="Arial" w:cs="Arial"/>
          <w:color w:val="000000"/>
          <w:sz w:val="20"/>
          <w:szCs w:val="20"/>
        </w:rPr>
      </w:pPr>
      <w:r w:rsidRPr="00DB297C">
        <w:rPr>
          <w:rFonts w:ascii="Arial" w:eastAsia="Century Gothic" w:hAnsi="Arial" w:cs="Arial"/>
          <w:color w:val="000000"/>
          <w:sz w:val="20"/>
          <w:szCs w:val="20"/>
        </w:rPr>
        <w:t>Murillo Herrera, Virginia, Ponencia Seminario Internacional sobre Niños, Niñas y Adolescentes en movimiento- Proyecto RESILAND, Bruselas, 2015</w:t>
      </w:r>
    </w:p>
    <w:p w14:paraId="0BC44C4F" w14:textId="77777777" w:rsidR="00821E70" w:rsidRPr="00DB297C" w:rsidRDefault="00821E70" w:rsidP="00821E70">
      <w:pPr>
        <w:numPr>
          <w:ilvl w:val="0"/>
          <w:numId w:val="1"/>
        </w:numPr>
        <w:spacing w:line="276" w:lineRule="auto"/>
        <w:jc w:val="both"/>
        <w:rPr>
          <w:rFonts w:ascii="Arial" w:eastAsia="Century Gothic" w:hAnsi="Arial" w:cs="Arial"/>
          <w:color w:val="000000"/>
          <w:sz w:val="20"/>
          <w:szCs w:val="20"/>
        </w:rPr>
      </w:pPr>
      <w:r w:rsidRPr="00DB297C">
        <w:rPr>
          <w:rFonts w:ascii="Arial" w:eastAsia="Century Gothic" w:hAnsi="Arial" w:cs="Arial"/>
          <w:color w:val="000000"/>
          <w:sz w:val="20"/>
          <w:szCs w:val="20"/>
        </w:rPr>
        <w:t>Murillo Herrera Virginia, Manual de Formación Derechos Humanos de Niños, Niñas y Adolescentes, Defensa de Niñas y Niños – Internacional, DNI Costa Rica, 2005</w:t>
      </w:r>
    </w:p>
    <w:p w14:paraId="04B02D39" w14:textId="77777777" w:rsidR="00821E70" w:rsidRPr="00DB297C" w:rsidRDefault="00821E70" w:rsidP="00821E70">
      <w:pPr>
        <w:numPr>
          <w:ilvl w:val="0"/>
          <w:numId w:val="1"/>
        </w:numPr>
        <w:spacing w:line="276" w:lineRule="auto"/>
        <w:jc w:val="both"/>
        <w:rPr>
          <w:rFonts w:ascii="Arial" w:eastAsia="Century Gothic" w:hAnsi="Arial" w:cs="Arial"/>
          <w:color w:val="000000"/>
          <w:sz w:val="20"/>
          <w:szCs w:val="20"/>
        </w:rPr>
      </w:pPr>
      <w:r w:rsidRPr="00DB297C">
        <w:rPr>
          <w:rFonts w:ascii="Arial" w:eastAsia="Century Gothic" w:hAnsi="Arial" w:cs="Arial"/>
          <w:color w:val="000000"/>
          <w:sz w:val="20"/>
          <w:szCs w:val="20"/>
        </w:rPr>
        <w:t xml:space="preserve">Protocolo Facultativo sobre la participación de niños en conflictos armados; Protocolo Facultativo sobre la venta, pornografía infantil y la utilización de niños en la pornografía infantil y Protocolo Facultativo sobre un procedimiento de comunicaciones. </w:t>
      </w:r>
    </w:p>
    <w:p w14:paraId="75C391DC" w14:textId="77777777" w:rsidR="00821E70" w:rsidRPr="00DB297C" w:rsidRDefault="00821E70" w:rsidP="00821E70">
      <w:pPr>
        <w:numPr>
          <w:ilvl w:val="0"/>
          <w:numId w:val="1"/>
        </w:numPr>
        <w:spacing w:line="276" w:lineRule="auto"/>
        <w:jc w:val="both"/>
        <w:rPr>
          <w:rFonts w:ascii="Arial" w:eastAsia="Century Gothic" w:hAnsi="Arial" w:cs="Arial"/>
          <w:color w:val="000000"/>
          <w:sz w:val="20"/>
          <w:szCs w:val="20"/>
        </w:rPr>
      </w:pPr>
      <w:r w:rsidRPr="00DB297C">
        <w:rPr>
          <w:rFonts w:ascii="Arial" w:eastAsia="Century Gothic" w:hAnsi="Arial" w:cs="Arial"/>
          <w:color w:val="000000"/>
          <w:sz w:val="20"/>
          <w:szCs w:val="20"/>
        </w:rPr>
        <w:t>www.ratifyop3crc.org</w:t>
      </w:r>
    </w:p>
    <w:p w14:paraId="6ABFA0ED" w14:textId="77777777" w:rsidR="00821E70" w:rsidRPr="00DB297C" w:rsidRDefault="00821E70" w:rsidP="00821E70">
      <w:pPr>
        <w:numPr>
          <w:ilvl w:val="0"/>
          <w:numId w:val="1"/>
        </w:numPr>
        <w:spacing w:line="276" w:lineRule="auto"/>
        <w:jc w:val="both"/>
        <w:rPr>
          <w:rFonts w:ascii="Arial" w:eastAsia="Century Gothic" w:hAnsi="Arial" w:cs="Arial"/>
          <w:color w:val="000000"/>
          <w:sz w:val="20"/>
          <w:szCs w:val="20"/>
        </w:rPr>
      </w:pPr>
      <w:r w:rsidRPr="00DB297C">
        <w:rPr>
          <w:rFonts w:ascii="Arial" w:eastAsia="Century Gothic" w:hAnsi="Arial" w:cs="Arial"/>
          <w:color w:val="000000"/>
          <w:sz w:val="20"/>
          <w:szCs w:val="20"/>
        </w:rPr>
        <w:t xml:space="preserve">Guía para niñas, niños y adolescentes, para que participen en la presentación de los informes al Comité: </w:t>
      </w:r>
      <w:hyperlink r:id="rId6">
        <w:r w:rsidRPr="00DB297C">
          <w:rPr>
            <w:rFonts w:ascii="Arial" w:eastAsia="Century Gothic" w:hAnsi="Arial" w:cs="Arial"/>
            <w:color w:val="0000FF"/>
            <w:sz w:val="20"/>
            <w:szCs w:val="20"/>
            <w:u w:val="single"/>
          </w:rPr>
          <w:t>http://www.crin.org/docs/Guidelines_for_Child_Participation_in_CRC_Reporting.pdf</w:t>
        </w:r>
      </w:hyperlink>
      <w:r w:rsidRPr="00DB297C">
        <w:rPr>
          <w:rFonts w:ascii="Arial" w:eastAsia="Century Gothic" w:hAnsi="Arial" w:cs="Arial"/>
          <w:color w:val="000000"/>
          <w:sz w:val="20"/>
          <w:szCs w:val="20"/>
        </w:rPr>
        <w:t xml:space="preserve"> div&gt;Icons made by Freepik from &lt;a href</w:t>
      </w:r>
      <w:proofErr w:type="gramStart"/>
      <w:r w:rsidRPr="00DB297C">
        <w:rPr>
          <w:rFonts w:ascii="Arial" w:eastAsia="Century Gothic" w:hAnsi="Arial" w:cs="Arial"/>
          <w:color w:val="000000"/>
          <w:sz w:val="20"/>
          <w:szCs w:val="20"/>
        </w:rPr>
        <w:t>=”http://www.flaticon.com</w:t>
      </w:r>
      <w:proofErr w:type="gramEnd"/>
      <w:r w:rsidRPr="00DB297C">
        <w:rPr>
          <w:rFonts w:ascii="Arial" w:eastAsia="Century Gothic" w:hAnsi="Arial" w:cs="Arial"/>
          <w:color w:val="000000"/>
          <w:sz w:val="20"/>
          <w:szCs w:val="20"/>
        </w:rPr>
        <w:t>” title=”Flaticon”&gt;www. flaticon.com&lt;/a is licensed by &lt;a href</w:t>
      </w:r>
      <w:proofErr w:type="gramStart"/>
      <w:r w:rsidRPr="00DB297C">
        <w:rPr>
          <w:rFonts w:ascii="Arial" w:eastAsia="Century Gothic" w:hAnsi="Arial" w:cs="Arial"/>
          <w:color w:val="000000"/>
          <w:sz w:val="20"/>
          <w:szCs w:val="20"/>
        </w:rPr>
        <w:t>=”http://creativecommons.org/licenses/by/3.0/</w:t>
      </w:r>
      <w:proofErr w:type="gramEnd"/>
      <w:r w:rsidRPr="00DB297C">
        <w:rPr>
          <w:rFonts w:ascii="Arial" w:eastAsia="Century Gothic" w:hAnsi="Arial" w:cs="Arial"/>
          <w:color w:val="000000"/>
          <w:sz w:val="20"/>
          <w:szCs w:val="20"/>
        </w:rPr>
        <w:t>”</w:t>
      </w:r>
    </w:p>
    <w:p w14:paraId="548D959D" w14:textId="77777777" w:rsidR="00821E70" w:rsidRPr="00DB297C" w:rsidRDefault="00821E70" w:rsidP="00821E70">
      <w:pPr>
        <w:numPr>
          <w:ilvl w:val="0"/>
          <w:numId w:val="1"/>
        </w:numPr>
        <w:spacing w:line="276" w:lineRule="auto"/>
        <w:jc w:val="both"/>
        <w:rPr>
          <w:rFonts w:ascii="Arial" w:eastAsia="Century Gothic" w:hAnsi="Arial" w:cs="Arial"/>
          <w:color w:val="000000"/>
          <w:sz w:val="20"/>
          <w:szCs w:val="20"/>
        </w:rPr>
      </w:pPr>
      <w:r w:rsidRPr="00DB297C">
        <w:rPr>
          <w:rFonts w:ascii="Arial" w:eastAsia="Century Gothic" w:hAnsi="Arial" w:cs="Arial"/>
          <w:color w:val="000000"/>
          <w:sz w:val="20"/>
          <w:szCs w:val="20"/>
        </w:rPr>
        <w:t>title</w:t>
      </w:r>
      <w:proofErr w:type="gramStart"/>
      <w:r w:rsidRPr="00DB297C">
        <w:rPr>
          <w:rFonts w:ascii="Arial" w:eastAsia="Century Gothic" w:hAnsi="Arial" w:cs="Arial"/>
          <w:color w:val="000000"/>
          <w:sz w:val="20"/>
          <w:szCs w:val="20"/>
        </w:rPr>
        <w:t>=”Creative</w:t>
      </w:r>
      <w:proofErr w:type="gramEnd"/>
      <w:r w:rsidRPr="00DB297C">
        <w:rPr>
          <w:rFonts w:ascii="Arial" w:eastAsia="Century Gothic" w:hAnsi="Arial" w:cs="Arial"/>
          <w:color w:val="000000"/>
          <w:sz w:val="20"/>
          <w:szCs w:val="20"/>
        </w:rPr>
        <w:t xml:space="preserve"> Commons BY 3.0”&gt;CC BY 3.0&lt;/a&gt;&lt;/div&gt;</w:t>
      </w:r>
    </w:p>
    <w:p w14:paraId="56B188FE" w14:textId="77777777" w:rsidR="00821E70" w:rsidRPr="00DB297C" w:rsidRDefault="00821E70" w:rsidP="00821E70">
      <w:pPr>
        <w:numPr>
          <w:ilvl w:val="0"/>
          <w:numId w:val="1"/>
        </w:numPr>
        <w:spacing w:line="276" w:lineRule="auto"/>
        <w:jc w:val="both"/>
        <w:rPr>
          <w:rFonts w:ascii="Arial" w:eastAsia="Century Gothic" w:hAnsi="Arial" w:cs="Arial"/>
          <w:color w:val="000000"/>
          <w:sz w:val="20"/>
          <w:szCs w:val="20"/>
        </w:rPr>
      </w:pPr>
      <w:r w:rsidRPr="00DB297C">
        <w:rPr>
          <w:rFonts w:ascii="Arial" w:eastAsia="Century Gothic" w:hAnsi="Arial" w:cs="Arial"/>
          <w:color w:val="000000"/>
          <w:sz w:val="20"/>
          <w:szCs w:val="20"/>
        </w:rPr>
        <w:t>CEDPA, Advocacy, Building skills for NGO Leaders, 1999</w:t>
      </w:r>
    </w:p>
    <w:p w14:paraId="73E153C2" w14:textId="77777777" w:rsidR="00821E70" w:rsidRPr="00DB297C" w:rsidRDefault="00821E70" w:rsidP="00821E70">
      <w:pPr>
        <w:numPr>
          <w:ilvl w:val="0"/>
          <w:numId w:val="1"/>
        </w:numPr>
        <w:spacing w:line="276" w:lineRule="auto"/>
        <w:jc w:val="both"/>
        <w:rPr>
          <w:rFonts w:ascii="Arial" w:eastAsia="Century Gothic" w:hAnsi="Arial" w:cs="Arial"/>
          <w:color w:val="000000"/>
          <w:sz w:val="20"/>
          <w:szCs w:val="20"/>
        </w:rPr>
      </w:pPr>
      <w:r w:rsidRPr="00DB297C">
        <w:rPr>
          <w:rFonts w:ascii="Arial" w:eastAsia="Century Gothic" w:hAnsi="Arial" w:cs="Arial"/>
          <w:color w:val="000000"/>
          <w:sz w:val="20"/>
          <w:szCs w:val="20"/>
        </w:rPr>
        <w:t>Advocacy Buildings Skills for NGOs Leader, The CEDPA Training Manual</w:t>
      </w:r>
    </w:p>
    <w:p w14:paraId="2657315D" w14:textId="77777777" w:rsidR="00821E70" w:rsidRPr="00DB297C" w:rsidRDefault="00821E70" w:rsidP="00821E70">
      <w:pPr>
        <w:numPr>
          <w:ilvl w:val="0"/>
          <w:numId w:val="1"/>
        </w:numPr>
        <w:spacing w:line="276" w:lineRule="auto"/>
        <w:jc w:val="both"/>
        <w:rPr>
          <w:rFonts w:ascii="Arial" w:eastAsia="Century Gothic" w:hAnsi="Arial" w:cs="Arial"/>
          <w:color w:val="000000"/>
          <w:sz w:val="20"/>
          <w:szCs w:val="20"/>
        </w:rPr>
      </w:pPr>
      <w:r w:rsidRPr="00DB297C">
        <w:rPr>
          <w:rFonts w:ascii="Arial" w:eastAsia="Century Gothic" w:hAnsi="Arial" w:cs="Arial"/>
          <w:color w:val="000000"/>
          <w:sz w:val="20"/>
          <w:szCs w:val="20"/>
        </w:rPr>
        <w:t>Morlachetti Alejandro, Sistemas Nacionales de Protección integral a la infancia: Fundamentos jurídicos y estado de aplicación en América Latina y El Caribe, UNICEF y CEPAL, 2013</w:t>
      </w:r>
    </w:p>
    <w:p w14:paraId="7A0D883C" w14:textId="77777777" w:rsidR="00821E70" w:rsidRPr="00DB297C" w:rsidRDefault="00821E70" w:rsidP="00821E70">
      <w:pPr>
        <w:numPr>
          <w:ilvl w:val="0"/>
          <w:numId w:val="1"/>
        </w:numPr>
        <w:spacing w:line="276" w:lineRule="auto"/>
        <w:jc w:val="both"/>
        <w:rPr>
          <w:rFonts w:ascii="Arial" w:eastAsia="Century Gothic" w:hAnsi="Arial" w:cs="Arial"/>
          <w:color w:val="000000"/>
          <w:sz w:val="20"/>
          <w:szCs w:val="20"/>
        </w:rPr>
      </w:pPr>
      <w:r w:rsidRPr="00DB297C">
        <w:rPr>
          <w:rFonts w:ascii="Arial" w:eastAsia="Century Gothic" w:hAnsi="Arial" w:cs="Arial"/>
          <w:color w:val="000000"/>
          <w:sz w:val="20"/>
          <w:szCs w:val="20"/>
        </w:rPr>
        <w:t>Benito Dura, Mauricio, La Sociedad Civil frente al Convenio 182: implicaciones socio-económicas de su ratificación, DNI Costa Rica 2004</w:t>
      </w:r>
    </w:p>
    <w:p w14:paraId="743062A0" w14:textId="77777777" w:rsidR="00821E70" w:rsidRPr="00DB297C" w:rsidRDefault="00821E70" w:rsidP="00821E70">
      <w:pPr>
        <w:numPr>
          <w:ilvl w:val="0"/>
          <w:numId w:val="1"/>
        </w:numPr>
        <w:spacing w:line="276" w:lineRule="auto"/>
        <w:jc w:val="both"/>
        <w:rPr>
          <w:rFonts w:ascii="Arial" w:eastAsia="Century Gothic" w:hAnsi="Arial" w:cs="Arial"/>
          <w:color w:val="000000"/>
          <w:sz w:val="20"/>
          <w:szCs w:val="20"/>
        </w:rPr>
      </w:pPr>
      <w:r w:rsidRPr="00DB297C">
        <w:rPr>
          <w:rFonts w:ascii="Arial" w:eastAsia="Century Gothic" w:hAnsi="Arial" w:cs="Arial"/>
          <w:color w:val="000000"/>
          <w:sz w:val="20"/>
          <w:szCs w:val="20"/>
        </w:rPr>
        <w:t>http://www.eumed.net/diccionario/definicion.php?dic=3&amp;def=265</w:t>
      </w:r>
    </w:p>
    <w:p w14:paraId="7F4485A3" w14:textId="77777777" w:rsidR="00821E70" w:rsidRPr="00DB297C" w:rsidRDefault="00821E70" w:rsidP="00821E70">
      <w:pPr>
        <w:numPr>
          <w:ilvl w:val="0"/>
          <w:numId w:val="1"/>
        </w:numPr>
        <w:spacing w:line="276" w:lineRule="auto"/>
        <w:jc w:val="both"/>
        <w:rPr>
          <w:rFonts w:ascii="Arial" w:eastAsia="Century Gothic" w:hAnsi="Arial" w:cs="Arial"/>
          <w:color w:val="000000"/>
          <w:sz w:val="20"/>
          <w:szCs w:val="20"/>
        </w:rPr>
      </w:pPr>
      <w:r w:rsidRPr="00DB297C">
        <w:rPr>
          <w:rFonts w:ascii="Arial" w:eastAsia="Century Gothic" w:hAnsi="Arial" w:cs="Arial"/>
          <w:color w:val="000000"/>
          <w:sz w:val="20"/>
          <w:szCs w:val="20"/>
        </w:rPr>
        <w:t>Murillo Herrera, Virginia, Compilación de Buenas Prácticas sobre Trabajo Infantil Doméstico en 10 países, Marcha Global contra el trabajo infantil, 2014</w:t>
      </w:r>
    </w:p>
    <w:p w14:paraId="02C7C59D" w14:textId="77777777" w:rsidR="00821E70" w:rsidRPr="00DB297C" w:rsidRDefault="00821E70" w:rsidP="00821E70">
      <w:pPr>
        <w:numPr>
          <w:ilvl w:val="0"/>
          <w:numId w:val="1"/>
        </w:numPr>
        <w:spacing w:line="276" w:lineRule="auto"/>
        <w:jc w:val="both"/>
        <w:rPr>
          <w:rFonts w:ascii="Arial" w:eastAsia="Century Gothic" w:hAnsi="Arial" w:cs="Arial"/>
          <w:color w:val="000000"/>
          <w:sz w:val="20"/>
          <w:szCs w:val="20"/>
        </w:rPr>
      </w:pPr>
      <w:r w:rsidRPr="00DB297C">
        <w:rPr>
          <w:rFonts w:ascii="Arial" w:eastAsia="Century Gothic" w:hAnsi="Arial" w:cs="Arial"/>
          <w:color w:val="000000"/>
          <w:sz w:val="20"/>
          <w:szCs w:val="20"/>
        </w:rPr>
        <w:t>Advocay Building Skills for NGO Leaders, The Cedpa Training Manual series, volumen IX, pag.23 (Check list from the SARA/AED Training Guide from Midwest Academy’s Organizing for Social Change.)</w:t>
      </w:r>
    </w:p>
    <w:p w14:paraId="44F4D434" w14:textId="77777777" w:rsidR="00821E70" w:rsidRPr="00DB297C" w:rsidRDefault="00821E70" w:rsidP="00821E70">
      <w:pPr>
        <w:numPr>
          <w:ilvl w:val="0"/>
          <w:numId w:val="1"/>
        </w:numPr>
        <w:spacing w:line="276" w:lineRule="auto"/>
        <w:jc w:val="both"/>
        <w:rPr>
          <w:rFonts w:ascii="Arial" w:eastAsia="Century Gothic" w:hAnsi="Arial" w:cs="Arial"/>
          <w:color w:val="000000"/>
          <w:sz w:val="20"/>
          <w:szCs w:val="20"/>
        </w:rPr>
      </w:pPr>
      <w:hyperlink r:id="rId7">
        <w:r w:rsidRPr="00DB297C">
          <w:rPr>
            <w:rFonts w:ascii="Arial" w:eastAsia="Century Gothic" w:hAnsi="Arial" w:cs="Arial"/>
            <w:color w:val="0000FF"/>
            <w:sz w:val="20"/>
            <w:szCs w:val="20"/>
            <w:u w:val="single"/>
          </w:rPr>
          <w:t>http://www.unesco.org/new/es/culture/themes/cultural-diversity/diversity-of-cultural-expressions/</w:t>
        </w:r>
      </w:hyperlink>
      <w:r w:rsidRPr="00DB297C">
        <w:rPr>
          <w:rFonts w:ascii="Arial" w:eastAsia="Century Gothic" w:hAnsi="Arial" w:cs="Arial"/>
          <w:color w:val="000000"/>
          <w:sz w:val="20"/>
          <w:szCs w:val="20"/>
        </w:rPr>
        <w:t xml:space="preserve"> tools/policy-guide/planificar/diagnosticar/arbol-de-problemas/</w:t>
      </w:r>
    </w:p>
    <w:p w14:paraId="7F7DA342" w14:textId="77777777" w:rsidR="00821E70" w:rsidRPr="00DB297C" w:rsidRDefault="00821E70" w:rsidP="00821E70">
      <w:pPr>
        <w:numPr>
          <w:ilvl w:val="0"/>
          <w:numId w:val="1"/>
        </w:numPr>
        <w:spacing w:line="276" w:lineRule="auto"/>
        <w:jc w:val="both"/>
        <w:rPr>
          <w:rFonts w:ascii="Arial" w:eastAsia="Century Gothic" w:hAnsi="Arial" w:cs="Arial"/>
          <w:color w:val="000000"/>
          <w:sz w:val="20"/>
          <w:szCs w:val="20"/>
        </w:rPr>
      </w:pPr>
      <w:r w:rsidRPr="00DB297C">
        <w:rPr>
          <w:rFonts w:ascii="Arial" w:eastAsia="Century Gothic" w:hAnsi="Arial" w:cs="Arial"/>
          <w:color w:val="000000"/>
          <w:sz w:val="20"/>
          <w:szCs w:val="20"/>
        </w:rPr>
        <w:t xml:space="preserve">Villanueva Djenane, Vargas Alejandro, Prepárese para Convencer, Manual de Capacitación para lograr una comunicación efectiva entre ONGs y Medios de Comunicación colectiva respecto a la situación de derechos de los niños, niñas y adolescentes en particular los niños, niñas y adolescentes trabadores, Defensa de Niñas y Niños – Internacional, DNI Costa Rica, 2003 </w:t>
      </w:r>
      <w:hyperlink r:id="rId8">
        <w:r w:rsidRPr="00DB297C">
          <w:rPr>
            <w:rFonts w:ascii="Arial" w:eastAsia="Century Gothic" w:hAnsi="Arial" w:cs="Arial"/>
            <w:color w:val="0000FF"/>
            <w:sz w:val="20"/>
            <w:szCs w:val="20"/>
            <w:u w:val="single"/>
          </w:rPr>
          <w:t>http://www.dnicostarica.org/wp-content/themes/sahifa/Recurso-periodistas/preparese-convencermanual-decapacitacion-en-espanol.pdf</w:t>
        </w:r>
      </w:hyperlink>
      <w:r w:rsidRPr="00DB297C">
        <w:rPr>
          <w:rFonts w:ascii="Arial" w:eastAsia="Century Gothic" w:hAnsi="Arial" w:cs="Arial"/>
          <w:color w:val="000000"/>
          <w:sz w:val="20"/>
          <w:szCs w:val="20"/>
        </w:rPr>
        <w:t xml:space="preserve"> </w:t>
      </w:r>
    </w:p>
    <w:p w14:paraId="11ED200D" w14:textId="77777777" w:rsidR="00821E70" w:rsidRPr="00DB297C" w:rsidRDefault="00821E70" w:rsidP="00821E70">
      <w:pPr>
        <w:numPr>
          <w:ilvl w:val="0"/>
          <w:numId w:val="1"/>
        </w:numPr>
        <w:spacing w:line="276" w:lineRule="auto"/>
        <w:jc w:val="both"/>
        <w:rPr>
          <w:rFonts w:ascii="Arial" w:eastAsia="Century Gothic" w:hAnsi="Arial" w:cs="Arial"/>
          <w:color w:val="000000"/>
          <w:sz w:val="20"/>
          <w:szCs w:val="20"/>
        </w:rPr>
      </w:pPr>
      <w:r w:rsidRPr="00DB297C">
        <w:rPr>
          <w:rFonts w:ascii="Arial" w:eastAsia="Century Gothic" w:hAnsi="Arial" w:cs="Arial"/>
          <w:color w:val="000000"/>
          <w:sz w:val="20"/>
          <w:szCs w:val="20"/>
        </w:rPr>
        <w:t>Encuentro Participación infantil, Participación Ciudadana, DGA, Zaragoza, 2014</w:t>
      </w:r>
    </w:p>
    <w:p w14:paraId="50F35CFA" w14:textId="77777777" w:rsidR="00821E70" w:rsidRPr="00DB297C" w:rsidRDefault="00821E70" w:rsidP="00821E70">
      <w:pPr>
        <w:numPr>
          <w:ilvl w:val="0"/>
          <w:numId w:val="1"/>
        </w:numPr>
        <w:spacing w:line="276" w:lineRule="auto"/>
        <w:jc w:val="both"/>
        <w:rPr>
          <w:rFonts w:ascii="Arial" w:eastAsia="Century Gothic" w:hAnsi="Arial" w:cs="Arial"/>
          <w:color w:val="000000"/>
          <w:sz w:val="20"/>
          <w:szCs w:val="20"/>
        </w:rPr>
      </w:pPr>
      <w:hyperlink r:id="rId9">
        <w:r w:rsidRPr="00DB297C">
          <w:rPr>
            <w:rFonts w:ascii="Arial" w:eastAsia="Century Gothic" w:hAnsi="Arial" w:cs="Arial"/>
            <w:color w:val="0000FF"/>
            <w:sz w:val="20"/>
            <w:szCs w:val="20"/>
            <w:u w:val="single"/>
          </w:rPr>
          <w:t>http://www.undp.org/content/undp/es/home/mdgoverview/post-2015-development-agenda/</w:t>
        </w:r>
      </w:hyperlink>
      <w:r w:rsidRPr="00DB297C">
        <w:rPr>
          <w:rFonts w:ascii="Arial" w:eastAsia="Century Gothic" w:hAnsi="Arial" w:cs="Arial"/>
          <w:color w:val="000000"/>
          <w:sz w:val="20"/>
          <w:szCs w:val="20"/>
        </w:rPr>
        <w:t xml:space="preserve"> </w:t>
      </w:r>
    </w:p>
    <w:p w14:paraId="2342BCE3" w14:textId="77777777" w:rsidR="00821E70" w:rsidRPr="00DB297C" w:rsidRDefault="00821E70" w:rsidP="00821E70">
      <w:pPr>
        <w:numPr>
          <w:ilvl w:val="0"/>
          <w:numId w:val="1"/>
        </w:numPr>
        <w:spacing w:after="200" w:line="276" w:lineRule="auto"/>
        <w:jc w:val="both"/>
        <w:rPr>
          <w:rFonts w:ascii="Arial" w:eastAsia="Century Gothic" w:hAnsi="Arial" w:cs="Arial"/>
          <w:color w:val="000000"/>
          <w:sz w:val="20"/>
          <w:szCs w:val="20"/>
        </w:rPr>
      </w:pPr>
      <w:r w:rsidRPr="00DB297C">
        <w:rPr>
          <w:rFonts w:ascii="Arial" w:eastAsia="Century Gothic" w:hAnsi="Arial" w:cs="Arial"/>
          <w:color w:val="000000"/>
          <w:sz w:val="20"/>
          <w:szCs w:val="20"/>
        </w:rPr>
        <w:t>Defensa de Niñas y Niños - Internacional, DNI Costa Rica, Tabla de Referencia de la Convención sobre los Derechos del Niño, 2013.</w:t>
      </w:r>
    </w:p>
    <w:p w14:paraId="0DB88D31" w14:textId="77777777" w:rsidR="00821E70" w:rsidRDefault="00821E70"/>
    <w:sectPr w:rsidR="00821E7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36652"/>
    <w:multiLevelType w:val="multilevel"/>
    <w:tmpl w:val="23F00480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6F7A6372"/>
    <w:multiLevelType w:val="multilevel"/>
    <w:tmpl w:val="B310F75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E70"/>
    <w:rsid w:val="005343FC"/>
    <w:rsid w:val="005B1D7F"/>
    <w:rsid w:val="00821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0F42F5"/>
  <w15:chartTrackingRefBased/>
  <w15:docId w15:val="{53BC99EC-529F-450D-9C56-89EE6D7CB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1E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821E7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nicostarica.org/wp-content/themes/sahifa/Recurso-periodistas/preparese-convencermanual-decapacitacion-en-espanol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nesco.org/new/es/culture/themes/cultural-diversity/diversity-of-cultural-expression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rin.org/docs/Guidelines_for_Child_Participation_in_CRC_Reporting.pd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tejiendoredesinfancia.org/publicaciones/logrando-cambio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undp.org/content/undp/es/home/mdgoverview/post-2015-development-agenda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636</Words>
  <Characters>3501</Characters>
  <Application>Microsoft Office Word</Application>
  <DocSecurity>0</DocSecurity>
  <Lines>29</Lines>
  <Paragraphs>8</Paragraphs>
  <ScaleCrop>false</ScaleCrop>
  <Company/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Verónica Alejandra Pérez García</dc:creator>
  <cp:keywords/>
  <dc:description/>
  <cp:lastModifiedBy>Verónica Alejandra Pérez García</cp:lastModifiedBy>
  <cp:revision>2</cp:revision>
  <dcterms:created xsi:type="dcterms:W3CDTF">2022-03-28T22:33:00Z</dcterms:created>
  <dcterms:modified xsi:type="dcterms:W3CDTF">2022-03-28T22:37:00Z</dcterms:modified>
</cp:coreProperties>
</file>